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B1F3A"/>
          </w:tcPr>
          <w:p>
            <w:pPr>
              <w:spacing w:before="200"/>
            </w:pPr>
            <w:r>
              <w:rPr>
                <w:rFonts w:ascii="Poppins" w:hAnsi="Poppins" w:cs="Poppins" w:eastAsia="Poppins"/>
                <w:b/>
                <w:color w:val="B87333"/>
                <w:sz w:val="18"/>
              </w:rPr>
              <w:t>TESIS TORVESA · UPS</w:t>
            </w:r>
          </w:p>
          <w:p>
            <w:r>
              <w:rPr>
                <w:rFonts w:ascii="Poppins" w:hAnsi="Poppins" w:cs="Poppins" w:eastAsia="Poppins"/>
                <w:b/>
                <w:color w:val="FFFFFF"/>
                <w:sz w:val="44"/>
              </w:rPr>
              <w:t>Base de fuentes 2021–2026</w:t>
            </w:r>
          </w:p>
          <w:p>
            <w:r>
              <w:rPr>
                <w:rFonts w:ascii="Lato" w:hAnsi="Lato" w:cs="Lato" w:eastAsia="Lato"/>
                <w:color w:val="E6C3A0"/>
                <w:sz w:val="22"/>
              </w:rPr>
              <w:t>Versión "0.1"</w:t>
            </w:r>
          </w:p>
          <w:p>
            <w:pPr>
              <w:spacing w:after="200"/>
            </w:pPr>
            <w:r>
              <w:rPr>
                <w:rFonts w:ascii="Lato" w:hAnsi="Lato" w:cs="Lato" w:eastAsia="Lato"/>
                <w:color w:val="CFD8E3"/>
                <w:sz w:val="18"/>
              </w:rPr>
              <w:t>2026-10-12</w:t>
            </w:r>
          </w:p>
        </w:tc>
      </w:tr>
    </w:tbl>
    <w:p/>
    <w:p>
      <w:r>
        <w:rPr>
          <w:b/>
        </w:rPr>
        <w:t>Qué es este documento:</w:t>
      </w:r>
      <w:r>
        <w:rPr/>
        <w:t xml:space="preserve"> la lista de fuentes </w:t>
      </w:r>
      <w:r>
        <w:rPr>
          <w:b/>
        </w:rPr>
        <w:t>vigentes</w:t>
      </w:r>
      <w:r>
        <w:rPr/>
        <w:t xml:space="preserve"> (2021 en adelante) que respaldan lo que la tesis afirma y lo que vamos a levantar en Torvesa. Cada fuente marcada como </w:t>
      </w:r>
      <w:r>
        <w:rPr>
          <w:b/>
        </w:rPr>
        <w:t>verificada</w:t>
      </w:r>
      <w:r>
        <w:rPr/>
        <w:t xml:space="preserve"> se abrió completa y el dato está en la página que se indica. Lo anterior a 2021 queda como </w:t>
      </w:r>
      <w:r>
        <w:rPr>
          <w:b/>
        </w:rPr>
        <w:t>histórico</w:t>
      </w:r>
      <w:r>
        <w:rPr/>
        <w:t>: se usa solo como antecedente u origen de un concepto.</w:t>
      </w:r>
    </w:p>
    <w:p>
      <w:r>
        <w:rPr>
          <w:b/>
        </w:rPr>
        <w:t>Cómo leer las tablas:</w:t>
      </w:r>
    </w:p>
    <w:p>
      <w:pPr>
        <w:pStyle w:val="ListBullet"/>
      </w:pPr>
      <w:r>
        <w:rPr>
          <w:b/>
        </w:rPr>
        <w:t>Confianza alta:</w:t>
      </w:r>
      <w:r>
        <w:rPr/>
        <w:t xml:space="preserve"> organismo oficial, universidad o revista científica.</w:t>
      </w:r>
    </w:p>
    <w:p>
      <w:pPr>
        <w:pStyle w:val="ListBullet"/>
      </w:pPr>
      <w:r>
        <w:rPr>
          <w:b/>
        </w:rPr>
        <w:t>Confianza media:</w:t>
      </w:r>
      <w:r>
        <w:rPr/>
        <w:t xml:space="preserve"> empresa del sector (por ejemplo, un proveedor de CRM) o prensa. Sirve como contexto, siempre junto a una fuente alta.</w:t>
      </w:r>
    </w:p>
    <w:p>
      <w:pPr>
        <w:pStyle w:val="ListBullet"/>
      </w:pPr>
      <w:r>
        <w:rPr>
          <w:b/>
        </w:rPr>
        <w:t>Confianza baja:</w:t>
      </w:r>
      <w:r>
        <w:rPr/>
        <w:t xml:space="preserve"> videos y blogs. Ayudan a aprender el proceso, pero no son evidencia.</w:t>
      </w:r>
    </w:p>
    <w:p>
      <w:r>
        <w:rPr/>
        <w:t xml:space="preserve">Las fichas completas de cada fuente, con la cita textual, están en la carpeta </w:t>
      </w:r>
      <w:r>
        <w:rPr>
          <w:rFonts w:ascii="Consolas" w:hAnsi="Consolas" w:cs="Consolas" w:eastAsia="Consolas"/>
          <w:color w:val="0B1F3A"/>
          <w:sz w:val="19"/>
        </w:rPr>
        <w:t>02_Fuentes</w:t>
      </w:r>
      <w:r>
        <w:rPr/>
        <w:t xml:space="preserve"> de la bóveda (una ficha por fuente). Los PDF de acceso abierto están en </w:t>
      </w:r>
      <w:r>
        <w:rPr>
          <w:rFonts w:ascii="Consolas" w:hAnsi="Consolas" w:cs="Consolas" w:eastAsia="Consolas"/>
          <w:color w:val="0B1F3A"/>
          <w:sz w:val="19"/>
        </w:rPr>
        <w:t>02_Fuentes/_Textos</w:t>
      </w:r>
      <w:r>
        <w:rPr/>
        <w:t>.</w:t>
      </w:r>
    </w:p>
    <w:p>
      <w:pPr>
        <w:pStyle w:val="Heading1"/>
        <w:pBdr>
          <w:bottom w:val="single" w:sz="10" w:space="4" w:color="B87333"/>
        </w:pBdr>
      </w:pPr>
      <w:r>
        <w:t>1. Cómo creció la IA en las empresas desde 2021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Año</w:t>
            </w:r>
          </w:p>
        </w:tc>
        <w:tc>
          <w:tcPr>
            <w:tcW w:type="dxa" w:w="19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Qué pasó</w:t>
            </w:r>
          </w:p>
        </w:tc>
        <w:tc>
          <w:tcPr>
            <w:tcW w:type="dxa" w:w="19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Fuente</w:t>
            </w:r>
          </w:p>
        </w:tc>
        <w:tc>
          <w:tcPr>
            <w:tcW w:type="dxa" w:w="19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Página</w:t>
            </w:r>
          </w:p>
        </w:tc>
        <w:tc>
          <w:tcPr>
            <w:tcW w:type="dxa" w:w="19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Confianza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2020→2024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En los países de la OCDE, las empresas que usan IA pasaron del </w:t>
            </w:r>
            <w:r>
              <w:rPr>
                <w:b/>
                <w:sz w:val="19"/>
              </w:rPr>
              <w:t>5,6 % al 14 %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OCDE (2025a)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p. 9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2023→2024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Las organizaciones que usan IA en al menos un área pasaron del </w:t>
            </w:r>
            <w:r>
              <w:rPr>
                <w:b/>
                <w:sz w:val="19"/>
              </w:rPr>
              <w:t>55 % al 78 %</w:t>
            </w:r>
            <w:r>
              <w:rPr>
                <w:sz w:val="19"/>
              </w:rPr>
              <w:t xml:space="preserve">; la IA generativa llegó al </w:t>
            </w:r>
            <w:r>
              <w:rPr>
                <w:b/>
                <w:sz w:val="19"/>
              </w:rPr>
              <w:t>71 %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McKinsey (2025); Stanford HAI (2025)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p. 14 y 16; cap. 4, p. 4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2024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El </w:t>
            </w:r>
            <w:r>
              <w:rPr>
                <w:b/>
                <w:sz w:val="19"/>
              </w:rPr>
              <w:t>31 %</w:t>
            </w:r>
            <w:r>
              <w:rPr>
                <w:sz w:val="19"/>
              </w:rPr>
              <w:t xml:space="preserve"> de las pymes ya usa IA generativa (más de 5.000 pymes, 7 países)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OCDE (2025b)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p. 6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2024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El </w:t>
            </w:r>
            <w:r>
              <w:rPr>
                <w:b/>
                <w:sz w:val="19"/>
              </w:rPr>
              <w:t>81 %</w:t>
            </w:r>
            <w:r>
              <w:rPr>
                <w:sz w:val="19"/>
              </w:rPr>
              <w:t xml:space="preserve"> de los equipos de ventas usa IA (5.500 profesionales, incluye Colombia, México y Brasil)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Salesforce (2024)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p. 6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2025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Predicción: en 2028 habrá </w:t>
            </w:r>
            <w:r>
              <w:rPr>
                <w:b/>
                <w:sz w:val="19"/>
              </w:rPr>
              <w:t>10 veces más agentes de IA que vendedores</w:t>
            </w:r>
            <w:r>
              <w:rPr>
                <w:sz w:val="19"/>
              </w:rPr>
              <w:t>, pero menos del 40 % de los vendedores dirá que mejoró su productividad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Gartner (2025)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comunicado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</w:tr>
      <w:tr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2026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El </w:t>
            </w:r>
            <w:r>
              <w:rPr>
                <w:b/>
                <w:sz w:val="19"/>
              </w:rPr>
              <w:t>56 %</w:t>
            </w:r>
            <w:r>
              <w:rPr>
                <w:sz w:val="19"/>
              </w:rPr>
              <w:t xml:space="preserve"> usa IA en tres o más áreas. El 54 % de las empresas grandes la escala en toda la empresa, frente a </w:t>
            </w:r>
            <w:r>
              <w:rPr>
                <w:b/>
                <w:sz w:val="19"/>
              </w:rPr>
              <w:t>un tercio de las pequeñas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McKinsey (2026)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«Key takeaways»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Alta</w:t>
            </w:r>
          </w:p>
        </w:tc>
      </w:tr>
    </w:tbl>
    <w:p/>
    <w:p>
      <w:r>
        <w:rPr>
          <w:b/>
        </w:rPr>
        <w:t>Lo importante para la tesis:</w:t>
      </w:r>
      <w:r>
        <w:rPr/>
        <w:t xml:space="preserve"> la IA se volvió masiva en las empresas grandes desde 2023, pero en las pequeñas sigue siendo baja. En la OCDE la usa el </w:t>
      </w:r>
      <w:r>
        <w:rPr>
          <w:b/>
        </w:rPr>
        <w:t>11,9 %</w:t>
      </w:r>
      <w:r>
        <w:rPr/>
        <w:t xml:space="preserve"> de las empresas de 10 a 49 empleados, frente al </w:t>
      </w:r>
      <w:r>
        <w:rPr>
          <w:b/>
        </w:rPr>
        <w:t>40 %</w:t>
      </w:r>
      <w:r>
        <w:rPr/>
        <w:t xml:space="preserve"> de las grandes (OCDE, 2025a, p. 10). Torvesa, con unos 30 colaboradores, está en el grupo que se está quedando atrás. </w:t>
      </w:r>
      <w:r>
        <w:rPr>
          <w:b/>
        </w:rPr>
        <w:t>Ojo:</w:t>
      </w:r>
      <w:r>
        <w:rPr/>
        <w:t xml:space="preserve"> McKinsey y Stanford usan la misma encuesta; no hay que presentarlas como dos pruebas distintas.</w:t>
      </w:r>
    </w:p>
    <w:p>
      <w:pPr>
        <w:pStyle w:val="Heading1"/>
        <w:pBdr>
          <w:bottom w:val="single" w:sz="10" w:space="4" w:color="B87333"/>
        </w:pBdr>
      </w:pPr>
      <w:r>
        <w:t>2. Ecuador y América Latina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Dato</w:t>
            </w:r>
          </w:p>
        </w:tc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Fuente</w:t>
            </w:r>
          </w:p>
        </w:tc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Página</w:t>
            </w:r>
          </w:p>
        </w:tc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Confianza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Ecuador está en la categoría </w:t>
            </w:r>
            <w:r>
              <w:rPr>
                <w:b/>
                <w:sz w:val="19"/>
              </w:rPr>
              <w:t>«adoptante»</w:t>
            </w:r>
            <w:r>
              <w:rPr>
                <w:sz w:val="19"/>
              </w:rPr>
              <w:t xml:space="preserve"> (nivel intermedio) del Índice Latinoamericano de IA 2025. La región recibe solo el 1,12 % de la inversión mundial en IA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CEPAL (2025)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comunicado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En 385 mipymes ecuatorianas, la IA se usa poco y sobre todo en marketing. Barreras: </w:t>
            </w:r>
            <w:r>
              <w:rPr>
                <w:b/>
                <w:sz w:val="19"/>
              </w:rPr>
              <w:t>falta de profesionales y falta de bases de datos ordenadas</w:t>
            </w:r>
            <w:r>
              <w:rPr>
                <w:sz w:val="19"/>
              </w:rPr>
              <w:t>, y poco dinero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Pérez-Campdesuñer et al. (2025)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resumen (revista </w:t>
            </w:r>
            <w:r>
              <w:rPr>
                <w:i/>
                <w:sz w:val="19"/>
              </w:rPr>
              <w:t>Information</w:t>
            </w:r>
            <w:r>
              <w:rPr>
                <w:sz w:val="19"/>
              </w:rPr>
              <w:t>, art. 443)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La construcción ecuatoriana creció </w:t>
            </w:r>
            <w:r>
              <w:rPr>
                <w:b/>
                <w:sz w:val="19"/>
              </w:rPr>
              <w:t>+11,3 %</w:t>
            </w:r>
            <w:r>
              <w:rPr>
                <w:sz w:val="19"/>
              </w:rPr>
              <w:t xml:space="preserve"> (2021) y </w:t>
            </w:r>
            <w:r>
              <w:rPr>
                <w:b/>
                <w:sz w:val="19"/>
              </w:rPr>
              <w:t>+7,5 %</w:t>
            </w:r>
            <w:r>
              <w:rPr>
                <w:sz w:val="19"/>
              </w:rPr>
              <w:t xml:space="preserve"> (2022), cayó </w:t>
            </w:r>
            <w:r>
              <w:rPr>
                <w:b/>
                <w:sz w:val="19"/>
              </w:rPr>
              <w:t>−1,7 %</w:t>
            </w:r>
            <w:r>
              <w:rPr>
                <w:sz w:val="19"/>
              </w:rPr>
              <w:t xml:space="preserve"> (2023) y </w:t>
            </w:r>
            <w:r>
              <w:rPr>
                <w:b/>
                <w:sz w:val="19"/>
              </w:rPr>
              <w:t>−7,9 %</w:t>
            </w:r>
            <w:r>
              <w:rPr>
                <w:sz w:val="19"/>
              </w:rPr>
              <w:t xml:space="preserve"> (2024), y se recuperó </w:t>
            </w:r>
            <w:r>
              <w:rPr>
                <w:b/>
                <w:sz w:val="19"/>
              </w:rPr>
              <w:t>+2,7 %</w:t>
            </w:r>
            <w:r>
              <w:rPr>
                <w:sz w:val="19"/>
              </w:rPr>
              <w:t xml:space="preserve"> (2025)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Banco Central del Ecuador (2026)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pp. 22–23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El </w:t>
            </w:r>
            <w:r>
              <w:rPr>
                <w:b/>
                <w:sz w:val="19"/>
              </w:rPr>
              <w:t>36 %</w:t>
            </w:r>
            <w:r>
              <w:rPr>
                <w:sz w:val="19"/>
              </w:rPr>
              <w:t xml:space="preserve"> de los trabajadores ecuatorianos usaba IA en su trabajo en 2024 (7.927 encuestados)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Multitrabajos, en Primicias (2024)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nota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El 33 % usa IA con cuentas personales en el trabajo; el </w:t>
            </w:r>
            <w:r>
              <w:rPr>
                <w:b/>
                <w:sz w:val="19"/>
              </w:rPr>
              <w:t>70 %</w:t>
            </w:r>
            <w:r>
              <w:rPr>
                <w:sz w:val="19"/>
              </w:rPr>
              <w:t xml:space="preserve"> de las organizaciones no tiene reglas internas para la IA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GMS y ESET, en Primicias (2026)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nota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</w:tr>
    </w:tbl>
    <w:p/>
    <w:p>
      <w:r>
        <w:rPr>
          <w:b/>
        </w:rPr>
        <w:t>Lo importante para la tesis:</w:t>
      </w:r>
      <w:r>
        <w:rPr/>
        <w:t xml:space="preserve"> el estudio de Pérez-Campdesuñer et al. (2025) es la mejor evidencia nacional reciente. La barrera de «no tener bases de datos ordenadas» es el mismo problema del historial disperso de Torvesa.</w:t>
      </w:r>
    </w:p>
    <w:p>
      <w:pPr>
        <w:pStyle w:val="Heading1"/>
        <w:pBdr>
          <w:bottom w:val="single" w:sz="10" w:space="4" w:color="B87333"/>
        </w:pBdr>
      </w:pPr>
      <w:r>
        <w:t>3. El problema: la rapidez para responder al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Dato</w:t>
            </w:r>
          </w:p>
        </w:tc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Fuente</w:t>
            </w:r>
          </w:p>
        </w:tc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Página</w:t>
            </w:r>
          </w:p>
        </w:tc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Confianza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El </w:t>
            </w:r>
            <w:r>
              <w:rPr>
                <w:b/>
                <w:sz w:val="19"/>
              </w:rPr>
              <w:t>83 %</w:t>
            </w:r>
            <w:r>
              <w:rPr>
                <w:sz w:val="19"/>
              </w:rPr>
              <w:t xml:space="preserve"> de los clientes espera hablar con alguien </w:t>
            </w:r>
            <w:r>
              <w:rPr>
                <w:b/>
                <w:sz w:val="19"/>
              </w:rPr>
              <w:t>de inmediato</w:t>
            </w:r>
            <w:r>
              <w:rPr>
                <w:sz w:val="19"/>
              </w:rPr>
              <w:t xml:space="preserve"> cuando contacta a una empresa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Salesforce (2022)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p. 16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En una prueba con 1.000 empresas B2B (2024), </w:t>
            </w:r>
            <w:r>
              <w:rPr>
                <w:b/>
                <w:sz w:val="19"/>
              </w:rPr>
              <w:t>635 nunca respondieron</w:t>
            </w:r>
            <w:r>
              <w:rPr>
                <w:sz w:val="19"/>
              </w:rPr>
              <w:t xml:space="preserve"> a una solicitud de demostración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RevenueHero (2024)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resultados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Los vendedores dedican solo el </w:t>
            </w:r>
            <w:r>
              <w:rPr>
                <w:b/>
                <w:sz w:val="19"/>
              </w:rPr>
              <w:t>30 %</w:t>
            </w:r>
            <w:r>
              <w:rPr>
                <w:sz w:val="19"/>
              </w:rPr>
              <w:t xml:space="preserve"> de su tiempo a vender; tareas como </w:t>
            </w:r>
            <w:r>
              <w:rPr>
                <w:b/>
                <w:sz w:val="19"/>
              </w:rPr>
              <w:t>hacer cotizaciones</w:t>
            </w:r>
            <w:r>
              <w:rPr>
                <w:sz w:val="19"/>
              </w:rPr>
              <w:t xml:space="preserve"> se pueden automatizar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Salesforce (2024)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p. 13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El </w:t>
            </w:r>
            <w:r>
              <w:rPr>
                <w:b/>
                <w:sz w:val="19"/>
              </w:rPr>
              <w:t>67 %</w:t>
            </w:r>
            <w:r>
              <w:rPr>
                <w:sz w:val="19"/>
              </w:rPr>
              <w:t xml:space="preserve"> de los compradores empresariales prefiere informarse sin un vendedor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Gartner (2026)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comunicado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</w:tr>
    </w:tbl>
    <w:p/>
    <w:p>
      <w:r>
        <w:rPr>
          <w:b/>
        </w:rPr>
        <w:t>Corrección importante al borrador:</w:t>
      </w:r>
      <w:r>
        <w:rPr/>
        <w:t xml:space="preserve"> no hay ningún estudio científico que pruebe la «ventana de 5 a 15 minutos». El estudio clásico (Oldroyd et al., 2011, </w:t>
      </w:r>
      <w:r>
        <w:rPr>
          <w:i/>
        </w:rPr>
        <w:t>Harvard Business Review</w:t>
      </w:r>
      <w:r>
        <w:rPr/>
        <w:t xml:space="preserve">) habla de </w:t>
      </w:r>
      <w:r>
        <w:rPr>
          <w:b/>
        </w:rPr>
        <w:t>la primera hora</w:t>
      </w:r>
      <w:r>
        <w:rPr/>
        <w:t xml:space="preserve">, y está en el histórico. </w:t>
      </w:r>
      <w:r>
        <w:rPr>
          <w:b/>
        </w:rPr>
        <w:t>Propuesta:</w:t>
      </w:r>
      <w:r>
        <w:rPr/>
        <w:t xml:space="preserve"> decir que el cliente espera respuesta inmediata (Salesforce, 2022) y que la meta de 15 minutos es </w:t>
      </w:r>
      <w:r>
        <w:rPr>
          <w:b/>
        </w:rPr>
        <w:t>una decisión de diseño de esta tesis</w:t>
      </w:r>
      <w:r>
        <w:rPr/>
        <w:t>, no un umbral probado.</w:t>
      </w:r>
    </w:p>
    <w:p>
      <w:pPr>
        <w:pStyle w:val="Heading1"/>
        <w:pBdr>
          <w:bottom w:val="single" w:sz="10" w:space="4" w:color="B87333"/>
        </w:pBdr>
      </w:pPr>
      <w:r>
        <w:t>4. La construcción y la tecnología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Dato</w:t>
            </w:r>
          </w:p>
        </w:tc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Fuente</w:t>
            </w:r>
          </w:p>
        </w:tc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Página</w:t>
            </w:r>
          </w:p>
        </w:tc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Confianza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Entre 2020 y 2022 se invirtieron unos </w:t>
            </w:r>
            <w:r>
              <w:rPr>
                <w:b/>
                <w:sz w:val="19"/>
              </w:rPr>
              <w:t>USD 50.000 millones</w:t>
            </w:r>
            <w:r>
              <w:rPr>
                <w:sz w:val="19"/>
              </w:rPr>
              <w:t xml:space="preserve"> en tecnología para la construcción (85 % más que antes). Aun así, el sector la adopta poco: es fragmentado, gasta poco en tecnología y trabaja «en papel»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McKinsey (2023)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Exhibit 1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construcción trabaja empresa con empresa (B2B), está fragmentada y se organiza por proyectos: eso frena su transformación digital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Samuelson y Stehn (2023)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pp. 396–400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En Chile, el </w:t>
            </w:r>
            <w:r>
              <w:rPr>
                <w:b/>
                <w:sz w:val="19"/>
              </w:rPr>
              <w:t>68 %</w:t>
            </w:r>
            <w:r>
              <w:rPr>
                <w:sz w:val="19"/>
              </w:rPr>
              <w:t xml:space="preserve"> de las pequeñas constructoras está en la etapa inicial de digitalización, el porcentaje más alto de todos los sectores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Cathles et al. (2023, BID)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p. 5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Alta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5. El asistente con IA que consulta documentos (RAG)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Dato</w:t>
            </w:r>
          </w:p>
        </w:tc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Fuente</w:t>
            </w:r>
          </w:p>
        </w:tc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Página</w:t>
            </w:r>
          </w:p>
        </w:tc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Confianza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En la industria, casi todos los sistemas RAG siguen en prototipo: </w:t>
            </w:r>
            <w:r>
              <w:rPr>
                <w:b/>
                <w:sz w:val="19"/>
              </w:rPr>
              <w:t>12 de 13</w:t>
            </w:r>
            <w:r>
              <w:rPr>
                <w:sz w:val="19"/>
              </w:rPr>
              <w:t xml:space="preserve"> casos estudiados no llegan a uso a gran escala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Brehme et al. (2025)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p. 10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Media (sin revisión por pares todavía)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El </w:t>
            </w:r>
            <w:r>
              <w:rPr>
                <w:b/>
                <w:sz w:val="19"/>
              </w:rPr>
              <w:t>73 %</w:t>
            </w:r>
            <w:r>
              <w:rPr>
                <w:sz w:val="19"/>
              </w:rPr>
              <w:t xml:space="preserve"> de los agentes de atención cree que un copiloto de IA le ayudaría en su trabajo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Zendesk (2024)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comunicado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</w:tr>
    </w:tbl>
    <w:p/>
    <w:p>
      <w:r>
        <w:rPr>
          <w:b/>
        </w:rPr>
        <w:t>Lo importante para la tesis:</w:t>
      </w:r>
      <w:r>
        <w:rPr/>
        <w:t xml:space="preserve"> que el RAG en empresas siga en prototipo respalda lo que hacemos: </w:t>
      </w:r>
      <w:r>
        <w:rPr>
          <w:b/>
        </w:rPr>
        <w:t>validación del diseño en operación experimental controlada</w:t>
      </w:r>
      <w:r>
        <w:rPr/>
        <w:t>, no una implementación.</w:t>
      </w:r>
    </w:p>
    <w:p>
      <w:pPr>
        <w:pStyle w:val="Heading1"/>
        <w:pBdr>
          <w:bottom w:val="single" w:sz="10" w:space="4" w:color="B87333"/>
        </w:pBdr>
      </w:pPr>
      <w:r>
        <w:t>6. Videos para aprender los procesos que vamos a levantar</w:t>
      </w:r>
    </w:p>
    <w:p>
      <w:r>
        <w:rPr/>
        <w:t xml:space="preserve">Sirven para </w:t>
      </w:r>
      <w:r>
        <w:rPr>
          <w:b/>
        </w:rPr>
        <w:t>entender y explicar</w:t>
      </w:r>
      <w:r>
        <w:rPr/>
        <w:t xml:space="preserve"> cada proceso, no como evidencia. Están confirmados título, canal y fecha; </w:t>
      </w:r>
      <w:r>
        <w:rPr>
          <w:b/>
        </w:rPr>
        <w:t>falta verlos</w:t>
      </w:r>
      <w:r>
        <w:rPr/>
        <w:t xml:space="preserve"> y anotar el minuto de lo que se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Para qué</w:t>
            </w:r>
          </w:p>
        </w:tc>
        <w:tc>
          <w:tcPr>
            <w:tcW w:type="dxa" w:w="19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Video</w:t>
            </w:r>
          </w:p>
        </w:tc>
        <w:tc>
          <w:tcPr>
            <w:tcW w:type="dxa" w:w="19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Canal</w:t>
            </w:r>
          </w:p>
        </w:tc>
        <w:tc>
          <w:tcPr>
            <w:tcW w:type="dxa" w:w="19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Año</w:t>
            </w:r>
          </w:p>
        </w:tc>
        <w:tc>
          <w:tcPr>
            <w:tcW w:type="dxa" w:w="19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Duración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Qué es RAG (el asistente)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What is Retrieval-Augmented Generation (RAG)?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IBM Technology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2023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 min</w:t>
            </w:r>
          </w:p>
        </w:tc>
      </w:tr>
      <w:tr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Dibujar el proceso actual y el futuro (BPMN)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Bizagi Modeler – Modelando mi primer proceso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Bizagi (oficial)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2021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 min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BPMN con más detalle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Bizagi Modeler desde cero: BPMN práctico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N. Castañeda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2025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12 min</w:t>
            </w:r>
          </w:p>
        </w:tc>
      </w:tr>
      <w:tr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Proceso de seguimiento de prospectos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Gestión de Leads en HubSpot: Workflows, Secuencias e IA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HubSpot Español (oficial)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2025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20 min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Etapas del embudo de ventas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Cómo crear un Pipeline de Ventas CRM HubSpot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L. Rodríguez Cid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2024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14 min</w:t>
            </w:r>
          </w:p>
        </w:tc>
      </w:tr>
      <w:tr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Delegado de protección de datos (reglamento 2025)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Delegado de Protección de Datos (DPD) en Ecuador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Soporte CompuMax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2025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7 min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Introducción a la ley de datos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LOPDP – Ley de Protección de Datos Personales en Ecuador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Virtualweb del Ecuador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2023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 min</w:t>
            </w:r>
          </w:p>
        </w:tc>
      </w:tr>
    </w:tbl>
    <w:p/>
    <w:p>
      <w:r>
        <w:rPr/>
        <w:t xml:space="preserve">Los enlaces están en la ficha de cada video, en la carpeta </w:t>
      </w:r>
      <w:r>
        <w:rPr>
          <w:rFonts w:ascii="Consolas" w:hAnsi="Consolas" w:cs="Consolas" w:eastAsia="Consolas"/>
          <w:color w:val="0B1F3A"/>
          <w:sz w:val="19"/>
        </w:rPr>
        <w:t>02_Fuentes</w:t>
      </w:r>
      <w:r>
        <w:rPr/>
        <w:t>.</w:t>
      </w:r>
    </w:p>
    <w:p>
      <w:pPr>
        <w:pStyle w:val="Heading1"/>
        <w:pBdr>
          <w:bottom w:val="single" w:sz="10" w:space="4" w:color="B87333"/>
        </w:pBdr>
      </w:pPr>
      <w:r>
        <w:t>7. Histórico (antes de 2021)</w:t>
      </w:r>
    </w:p>
    <w:p>
      <w:r>
        <w:rPr/>
        <w:t xml:space="preserve">Se mantienen solo como </w:t>
      </w:r>
      <w:r>
        <w:rPr>
          <w:b/>
        </w:rPr>
        <w:t>origen</w:t>
      </w:r>
      <w:r>
        <w:rPr/>
        <w:t xml:space="preserve"> del concepto o del dato. Siempre van acompañadas de una fuente vigente.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Fuente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Para qué se mantiene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Fuente vigente que la acompaña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Oldroyd et al. (2011), </w:t>
            </w:r>
            <w:r>
              <w:rPr>
                <w:i/>
                <w:sz w:val="19"/>
              </w:rPr>
              <w:t>Harvard Business Review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Estudio original sobre la rapidez de respuesta (primera hora)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Salesforce (2022); RevenueHero (2024)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Manyika et al. (2015), McKinsey Global Institute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Origen del índice de digitalización (construcción: penúltimo de 22 sectores)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Cathles et al. (2023); McKinsey (2023)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Agarwal et al. (2016), McKinsey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Repite el índice anterior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Igual que la anterior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Hevner (2016), video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Charla del autor del método DSR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Faltan fuentes de metodología 2021+ (miércoles 14)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8. Lo que falta y quién lo hace</w:t>
      </w:r>
    </w:p>
    <w:p>
      <w:r>
        <w:rPr>
          <w:b/>
        </w:rPr>
        <w:t>Para Víctor: bajar a mano</w:t>
      </w:r>
      <w:r>
        <w:rPr/>
        <w:t xml:space="preserve"> en el Chrome de la tesis o en la biblioteca de la UPS. Las editoriales piden una verificación humana o los sitios del Estado no responden a la descarga automática. Guardar los PDF en </w:t>
      </w:r>
      <w:r>
        <w:rPr>
          <w:rFonts w:ascii="Consolas" w:hAnsi="Consolas" w:cs="Consolas" w:eastAsia="Consolas"/>
          <w:color w:val="0B1F3A"/>
          <w:sz w:val="19"/>
        </w:rPr>
        <w:t>00_Inbox/descargas</w:t>
      </w:r>
      <w:r>
        <w:rPr/>
        <w:t xml:space="preserve"> y avisar a Claude.</w:t>
      </w:r>
    </w:p>
    <w:p>
      <w:pPr>
        <w:pStyle w:val="ListNumber"/>
      </w:pPr>
      <w:r>
        <w:rPr/>
        <w:t>Oldroyd et al. (2011): para confirmar el «7 veces» y el «60 veces».</w:t>
      </w:r>
    </w:p>
    <w:p>
      <w:pPr>
        <w:pStyle w:val="ListNumber"/>
      </w:pPr>
      <w:r>
        <w:rPr/>
        <w:t>Texto oficial de la LOPDP (Registro Oficial, Suplemento 459, 2021) y su Reglamento (2023).</w:t>
      </w:r>
    </w:p>
    <w:p>
      <w:pPr>
        <w:pStyle w:val="ListNumber"/>
      </w:pPr>
      <w:r>
        <w:rPr/>
        <w:t>Datos del INEC sobre empresas (Registro Estadístico de Empresas 2024).</w:t>
      </w:r>
    </w:p>
    <w:p>
      <w:pPr>
        <w:pStyle w:val="ListNumber"/>
      </w:pPr>
      <w:r>
        <w:rPr/>
        <w:t>Informe completo ILIA 2025 (CEPAL): puntaje de Ecuador.</w:t>
      </w:r>
    </w:p>
    <w:p>
      <w:pPr>
        <w:pStyle w:val="ListNumber"/>
      </w:pPr>
      <w:r>
        <w:rPr/>
        <w:t>Tesis de Carguachi (2025, UEES): constructoras ecuatorianas y tecnología.</w:t>
      </w:r>
    </w:p>
    <w:p>
      <w:pPr>
        <w:pStyle w:val="ListNumber"/>
      </w:pPr>
      <w:r>
        <w:rPr/>
        <w:t>Nyqvist et al. (2024), Pollitt (2000), Galan (2023) y Zhang et al. (2023).</w:t>
      </w:r>
    </w:p>
    <w:p>
      <w:r>
        <w:rPr>
          <w:b/>
        </w:rPr>
        <w:t>Siguiente búsqueda (martes 13 y miércoles 14):</w:t>
      </w:r>
      <w:r>
        <w:rPr/>
        <w:t xml:space="preserve"> metodología (DSR, Design Thinking, Scrum) con fuentes 2021+, escala de usabilidad SUS en español, CRM y CRM móvil en pymes (2021+) y la política de uso de IA de la UPS.</w:t>
      </w:r>
    </w:p>
    <w:p>
      <w:pPr>
        <w:pStyle w:val="Heading1"/>
        <w:pBdr>
          <w:bottom w:val="single" w:sz="10" w:space="4" w:color="B87333"/>
        </w:pBdr>
      </w:pPr>
      <w:r>
        <w:t>Referencias (APA 7)</w:t>
      </w:r>
    </w:p>
    <w:p>
      <w:pPr>
        <w:pStyle w:val="ListBullet"/>
      </w:pPr>
      <w:r>
        <w:rPr/>
        <w:t xml:space="preserve">Agarwal, R., Chandrasekaran, S., &amp; Sridhar, M. (2016). </w:t>
      </w:r>
      <w:r>
        <w:rPr>
          <w:i/>
        </w:rPr>
        <w:t>Imagining construction's digital future</w:t>
      </w:r>
      <w:r>
        <w:rPr/>
        <w:t>. McKinsey &amp; Company.</w:t>
      </w:r>
    </w:p>
    <w:p>
      <w:pPr>
        <w:pStyle w:val="ListBullet"/>
      </w:pPr>
      <w:r>
        <w:rPr/>
        <w:t xml:space="preserve">Banco Central del Ecuador. (2026). </w:t>
      </w:r>
      <w:r>
        <w:rPr>
          <w:i/>
        </w:rPr>
        <w:t>Informe de evolución de la economía ecuatoriana en 2025 y perspectivas 2026</w:t>
      </w:r>
      <w:r>
        <w:rPr/>
        <w:t>.</w:t>
      </w:r>
    </w:p>
    <w:p>
      <w:pPr>
        <w:pStyle w:val="ListBullet"/>
      </w:pPr>
      <w:r>
        <w:rPr/>
        <w:t xml:space="preserve">Brehme, L., Dornauer, B., Ströhle, T., Ehrhart, M., &amp; Breu, R. (2025). </w:t>
      </w:r>
      <w:r>
        <w:rPr>
          <w:i/>
        </w:rPr>
        <w:t>Retrieval-augmented generation in industry: An interview study on use cases, requirements, challenges, and evaluation</w:t>
      </w:r>
      <w:r>
        <w:rPr/>
        <w:t xml:space="preserve"> [Preprint]. arXiv. https://arxiv.org/abs/2508.14066</w:t>
      </w:r>
    </w:p>
    <w:p>
      <w:pPr>
        <w:pStyle w:val="ListBullet"/>
      </w:pPr>
      <w:r>
        <w:rPr/>
        <w:t xml:space="preserve">Cathles, A., Henríquez, P., &amp; Suaznábar, C. (2023). </w:t>
      </w:r>
      <w:r>
        <w:rPr>
          <w:i/>
        </w:rPr>
        <w:t>Impulsando la transformación digital de la construcción: el caso del BIM en Chile</w:t>
      </w:r>
      <w:r>
        <w:rPr/>
        <w:t>. Banco Interamericano de Desarrollo. https://doi.org/10.18235/0004973</w:t>
      </w:r>
    </w:p>
    <w:p>
      <w:pPr>
        <w:pStyle w:val="ListBullet"/>
      </w:pPr>
      <w:r>
        <w:rPr/>
        <w:t xml:space="preserve">Comisión Económica para América Latina y el Caribe. (2025, 3 de octubre). </w:t>
      </w:r>
      <w:r>
        <w:rPr>
          <w:i/>
        </w:rPr>
        <w:t>América Latina y el Caribe aceleran la adopción de la inteligencia artificial</w:t>
      </w:r>
      <w:r>
        <w:rPr/>
        <w:t xml:space="preserve"> [Comunicado; ILIA 2025].</w:t>
      </w:r>
    </w:p>
    <w:p>
      <w:pPr>
        <w:pStyle w:val="ListBullet"/>
      </w:pPr>
      <w:r>
        <w:rPr/>
        <w:t xml:space="preserve">Gartner. (2025, 18 de noviembre). </w:t>
      </w:r>
      <w:r>
        <w:rPr>
          <w:i/>
        </w:rPr>
        <w:t>Gartner predicts by 2028 AI agents will outnumber sellers by 10X</w:t>
      </w:r>
      <w:r>
        <w:rPr/>
        <w:t xml:space="preserve"> [Comunicado].</w:t>
      </w:r>
    </w:p>
    <w:p>
      <w:pPr>
        <w:pStyle w:val="ListBullet"/>
      </w:pPr>
      <w:r>
        <w:rPr/>
        <w:t xml:space="preserve">Gartner. (2026, 9 de marzo). </w:t>
      </w:r>
      <w:r>
        <w:rPr>
          <w:i/>
        </w:rPr>
        <w:t>Gartner sales survey finds 67% of B2B buyers prefer a rep-free experience</w:t>
      </w:r>
      <w:r>
        <w:rPr/>
        <w:t xml:space="preserve"> [Comunicado].</w:t>
      </w:r>
    </w:p>
    <w:p>
      <w:pPr>
        <w:pStyle w:val="ListBullet"/>
      </w:pPr>
      <w:r>
        <w:rPr/>
        <w:t xml:space="preserve">Koushik, V. (2024, 20 de marzo). </w:t>
      </w:r>
      <w:r>
        <w:rPr>
          <w:i/>
        </w:rPr>
        <w:t>We tested lead response times of 1000 B2B sales teams</w:t>
      </w:r>
      <w:r>
        <w:rPr/>
        <w:t>. RevenueHero.</w:t>
      </w:r>
    </w:p>
    <w:p>
      <w:pPr>
        <w:pStyle w:val="ListBullet"/>
      </w:pPr>
      <w:r>
        <w:rPr/>
        <w:t xml:space="preserve">Manyika, J., Ramaswamy, S., Khanna, S., Sarrazin, H., Pinkus, G., Sethupathy, G., &amp; Yaffe, A. (2015). </w:t>
      </w:r>
      <w:r>
        <w:rPr>
          <w:i/>
        </w:rPr>
        <w:t>Digital America: A tale of the haves and have-mores</w:t>
      </w:r>
      <w:r>
        <w:rPr/>
        <w:t>. McKinsey Global Institute.</w:t>
      </w:r>
    </w:p>
    <w:p>
      <w:pPr>
        <w:pStyle w:val="ListBullet"/>
      </w:pPr>
      <w:r>
        <w:rPr/>
        <w:t xml:space="preserve">McKinsey &amp; Company. (2023, 3 de mayo). </w:t>
      </w:r>
      <w:r>
        <w:rPr>
          <w:i/>
        </w:rPr>
        <w:t>From start-up to scale-up: Accelerating growth in construction technology</w:t>
      </w:r>
      <w:r>
        <w:rPr/>
        <w:t>.</w:t>
      </w:r>
    </w:p>
    <w:p>
      <w:pPr>
        <w:pStyle w:val="ListBullet"/>
      </w:pPr>
      <w:r>
        <w:rPr/>
        <w:t xml:space="preserve">McKinsey &amp; Company. (2026, 25 de agosto). </w:t>
      </w:r>
      <w:r>
        <w:rPr>
          <w:i/>
        </w:rPr>
        <w:t>The state of AI: Global survey 2026</w:t>
      </w:r>
      <w:r>
        <w:rPr/>
        <w:t>.</w:t>
      </w:r>
    </w:p>
    <w:p>
      <w:pPr>
        <w:pStyle w:val="ListBullet"/>
      </w:pPr>
      <w:r>
        <w:rPr/>
        <w:t xml:space="preserve">OECD. (2025a). </w:t>
      </w:r>
      <w:r>
        <w:rPr>
          <w:i/>
        </w:rPr>
        <w:t>AI adoption by small and medium-sized enterprises</w:t>
      </w:r>
      <w:r>
        <w:rPr/>
        <w:t>. OECD Publishing.</w:t>
      </w:r>
    </w:p>
    <w:p>
      <w:pPr>
        <w:pStyle w:val="ListBullet"/>
      </w:pPr>
      <w:r>
        <w:rPr/>
        <w:t xml:space="preserve">OECD. (2025b). </w:t>
      </w:r>
      <w:r>
        <w:rPr>
          <w:i/>
        </w:rPr>
        <w:t>Generative AI and the SME workforce: New survey evidence</w:t>
      </w:r>
      <w:r>
        <w:rPr/>
        <w:t>. OECD Publishing.</w:t>
      </w:r>
    </w:p>
    <w:p>
      <w:pPr>
        <w:pStyle w:val="ListBullet"/>
      </w:pPr>
      <w:r>
        <w:rPr/>
        <w:t xml:space="preserve">Oldroyd, J. B., McElheran, K., &amp; Elkington, D. (2011). The short life of online sales leads. </w:t>
      </w:r>
      <w:r>
        <w:rPr>
          <w:i/>
        </w:rPr>
        <w:t>Harvard Business Review, 89</w:t>
      </w:r>
      <w:r>
        <w:rPr/>
        <w:t>(3). [página por confirmar]</w:t>
      </w:r>
    </w:p>
    <w:p>
      <w:pPr>
        <w:pStyle w:val="ListBullet"/>
      </w:pPr>
      <w:r>
        <w:rPr/>
        <w:t xml:space="preserve">Pérez-Campdesuñer, R., Sánchez-Rodríguez, A., García-Vidal, G., Martínez-Vivar, R., &amp; De Miguel-Guzmán, M. (2025). Artificial intelligence in Ecuadorian SMEs: Drivers and obstacles to adoption. </w:t>
      </w:r>
      <w:r>
        <w:rPr>
          <w:i/>
        </w:rPr>
        <w:t>Information, 16</w:t>
      </w:r>
      <w:r>
        <w:rPr/>
        <w:t>(6), 443. https://doi.org/10.3390/info16060443</w:t>
      </w:r>
    </w:p>
    <w:p>
      <w:pPr>
        <w:pStyle w:val="ListBullet"/>
      </w:pPr>
      <w:r>
        <w:rPr/>
        <w:t xml:space="preserve">Redacción Empresas. (2024, 26 de febrero). Tres de cada 10 ecuatorianos usaron IA en sus tareas diarias de trabajo. </w:t>
      </w:r>
      <w:r>
        <w:rPr>
          <w:i/>
        </w:rPr>
        <w:t>Primicias</w:t>
      </w:r>
      <w:r>
        <w:rPr/>
        <w:t>.</w:t>
      </w:r>
    </w:p>
    <w:p>
      <w:pPr>
        <w:pStyle w:val="ListBullet"/>
      </w:pPr>
      <w:r>
        <w:rPr/>
        <w:t xml:space="preserve">Revelo, R. (2026, 16 de septiembre). El peligro de la «Shadow AI»: el 33 % de empleados en Ecuador usa IA personal en el trabajo. </w:t>
      </w:r>
      <w:r>
        <w:rPr>
          <w:i/>
        </w:rPr>
        <w:t>Primicias</w:t>
      </w:r>
      <w:r>
        <w:rPr/>
        <w:t>.</w:t>
      </w:r>
    </w:p>
    <w:p>
      <w:pPr>
        <w:pStyle w:val="ListBullet"/>
      </w:pPr>
      <w:r>
        <w:rPr/>
        <w:t xml:space="preserve">Salesforce Research. (2022). </w:t>
      </w:r>
      <w:r>
        <w:rPr>
          <w:i/>
        </w:rPr>
        <w:t>State of the connected customer</w:t>
      </w:r>
      <w:r>
        <w:rPr/>
        <w:t xml:space="preserve"> (5.ª ed.). Salesforce.</w:t>
      </w:r>
    </w:p>
    <w:p>
      <w:pPr>
        <w:pStyle w:val="ListBullet"/>
      </w:pPr>
      <w:r>
        <w:rPr/>
        <w:t xml:space="preserve">Salesforce Research. (2024). </w:t>
      </w:r>
      <w:r>
        <w:rPr>
          <w:i/>
        </w:rPr>
        <w:t>State of sales</w:t>
      </w:r>
      <w:r>
        <w:rPr/>
        <w:t xml:space="preserve"> (6.ª ed.). Salesforce.</w:t>
      </w:r>
    </w:p>
    <w:p>
      <w:pPr>
        <w:pStyle w:val="ListBullet"/>
      </w:pPr>
      <w:r>
        <w:rPr/>
        <w:t xml:space="preserve">Samuelson, O., &amp; Stehn, L. (2023). Digital transformation in construction – a review. </w:t>
      </w:r>
      <w:r>
        <w:rPr>
          <w:i/>
        </w:rPr>
        <w:t>Journal of Information Technology in Construction, 28</w:t>
      </w:r>
      <w:r>
        <w:rPr/>
        <w:t>, 385–404. https://doi.org/10.36680/j.itcon.2023.020</w:t>
      </w:r>
    </w:p>
    <w:p>
      <w:pPr>
        <w:pStyle w:val="ListBullet"/>
      </w:pPr>
      <w:r>
        <w:rPr/>
        <w:t xml:space="preserve">Singla, A., Sukharevsky, A., Yee, L., Chui, M., &amp; Hall, B. (2025). </w:t>
      </w:r>
      <w:r>
        <w:rPr>
          <w:i/>
        </w:rPr>
        <w:t>The state of AI: How organizations are rewiring to capture value</w:t>
      </w:r>
      <w:r>
        <w:rPr/>
        <w:t>. McKinsey &amp; Company.</w:t>
      </w:r>
    </w:p>
    <w:p>
      <w:pPr>
        <w:pStyle w:val="ListBullet"/>
      </w:pPr>
      <w:r>
        <w:rPr/>
        <w:t xml:space="preserve">Stanford Institute for Human-Centered Artificial Intelligence. (2025). </w:t>
      </w:r>
      <w:r>
        <w:rPr>
          <w:i/>
        </w:rPr>
        <w:t>Artificial Intelligence Index Report 2025</w:t>
      </w:r>
      <w:r>
        <w:rPr/>
        <w:t>. Stanford University.</w:t>
      </w:r>
    </w:p>
    <w:p>
      <w:pPr>
        <w:pStyle w:val="ListBullet"/>
      </w:pPr>
      <w:r>
        <w:rPr/>
        <w:t xml:space="preserve">Zendesk. (2024, 20 de noviembre). </w:t>
      </w:r>
      <w:r>
        <w:rPr>
          <w:i/>
        </w:rPr>
        <w:t>Zendesk 2025 CX Trends Report: Human-centric AI drives loyalty</w:t>
      </w:r>
      <w:r>
        <w:rPr/>
        <w:t xml:space="preserve"> [Comunicado].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ato" w:hAnsi="Lato" w:cs="Lato" w:eastAsia="Lato"/>
        <w:color w:val="555E6B"/>
        <w:sz w:val="16"/>
      </w:rPr>
      <w:t xml:space="preserve">Base de fuentes 2021–2026  ·  Tesis Torvesa · UPS  ·  pág. </w:t>
    </w:r>
    <w:r>
      <w:rPr>
        <w:color w:val="555E6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ato" w:hAnsi="Lato" w:eastAsia="Lato"/>
      <w:color w:val="22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Poppins" w:hAnsi="Poppins" w:cs="Poppins"/>
      <w:b/>
      <w:bCs/>
      <w:color w:val="0B1F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Poppins" w:hAnsi="Poppins" w:cs="Poppins"/>
      <w:b/>
      <w:bCs/>
      <w:color w:val="B87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Poppins" w:hAnsi="Poppins" w:cs="Poppins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ato" w:hAnsi="Lato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ato" w:hAnsi="Lato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