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0B1F3A"/>
          </w:tcPr>
          <w:p>
            <w:pPr>
              <w:spacing w:before="200"/>
            </w:pPr>
            <w:r>
              <w:rPr>
                <w:rFonts w:ascii="Poppins" w:hAnsi="Poppins" w:cs="Poppins" w:eastAsia="Poppins"/>
                <w:b/>
                <w:color w:val="B87333"/>
                <w:sz w:val="18"/>
              </w:rPr>
              <w:t>TESIS TORVESA · UPS</w:t>
            </w:r>
          </w:p>
          <w:p>
            <w:r>
              <w:rPr>
                <w:rFonts w:ascii="Poppins" w:hAnsi="Poppins" w:cs="Poppins" w:eastAsia="Poppins"/>
                <w:b/>
                <w:color w:val="FFFFFF"/>
                <w:sz w:val="44"/>
              </w:rPr>
              <w:t>Manual de redacción de la tesis (para la IA)</w:t>
            </w:r>
          </w:p>
          <w:p>
            <w:r>
              <w:rPr>
                <w:rFonts w:ascii="Lato" w:hAnsi="Lato" w:cs="Lato" w:eastAsia="Lato"/>
                <w:color w:val="E6C3A0"/>
                <w:sz w:val="22"/>
              </w:rPr>
              <w:t>Versión "0.1"</w:t>
            </w:r>
          </w:p>
          <w:p>
            <w:pPr>
              <w:spacing w:after="200"/>
            </w:pPr>
            <w:r>
              <w:rPr>
                <w:rFonts w:ascii="Lato" w:hAnsi="Lato" w:cs="Lato" w:eastAsia="Lato"/>
                <w:color w:val="CFD8E3"/>
                <w:sz w:val="18"/>
              </w:rPr>
              <w:t>2026-10-12</w:t>
            </w:r>
          </w:p>
        </w:tc>
      </w:tr>
    </w:tbl>
    <w:p/>
    <w:tbl>
      <w:tblPr>
        <w:tblW w:type="auto" w:w="0"/>
        <w:tblLook w:firstColumn="1" w:firstRow="1" w:lastColumn="0" w:lastRow="0" w:noHBand="0" w:noVBand="1" w:val="04A0"/>
      </w:tblPr>
      <w:tblGrid>
        <w:gridCol w:w="9746"/>
      </w:tblGrid>
      <w:tr>
        <w:tc>
          <w:tcPr>
            <w:tcW w:type="dxa" w:w="9746"/>
            <w:shd w:val="clear" w:color="auto" w:fill="EEF2F7"/>
          </w:tcPr>
          <w:p>
            <w:r>
              <w:rPr>
                <w:b/>
              </w:rPr>
              <w:t>Qué es:</w:t>
            </w:r>
            <w:r>
              <w:rPr/>
              <w:t xml:space="preserve"> las reglas que sigue la IA para </w:t>
            </w:r>
            <w:r>
              <w:rPr>
                <w:b/>
              </w:rPr>
              <w:t>armar, redactar, citar y presentar</w:t>
            </w:r>
            <w:r>
              <w:rPr/>
              <w:t xml:space="preserve"> la tesis. </w:t>
            </w:r>
            <w:r>
              <w:rPr>
                <w:b/>
              </w:rPr>
              <w:t>No se cita en la tesis.</w:t>
            </w:r>
            <w:r>
              <w:rPr/>
              <w:t xml:space="preserve"> Es la guía de trabajo.</w:t>
            </w:r>
          </w:p>
          <w:p>
            <w:r>
              <w:rPr>
                <w:b/>
              </w:rPr>
              <w:t>Cuándo se lee:</w:t>
            </w:r>
            <w:r>
              <w:rPr/>
              <w:t xml:space="preserve"> antes de redactar o revisar </w:t>
            </w:r>
            <w:r>
              <w:rPr>
                <w:b/>
              </w:rPr>
              <w:t>cualquier</w:t>
            </w:r>
            <w:r>
              <w:rPr/>
              <w:t xml:space="preserve"> parte de un capítulo, de un resumen o de las referencias.</w:t>
            </w:r>
          </w:p>
          <w:p>
            <w:r>
              <w:rPr>
                <w:b/>
              </w:rPr>
              <w:t>Orden de prioridad cuando dos reglas chocan:</w:t>
            </w:r>
          </w:p>
          <w:p>
            <w:r>
              <w:rPr/>
              <w:t xml:space="preserve">1. Lo que diga la tutora (actas en </w:t>
            </w:r>
            <w:r>
              <w:rPr>
                <w:rFonts w:ascii="Consolas" w:hAnsi="Consolas" w:cs="Consolas" w:eastAsia="Consolas"/>
                <w:color w:val="0B1F3A"/>
                <w:sz w:val="19"/>
              </w:rPr>
              <w:t>08_Reuniones_Tutora/</w:t>
            </w:r>
            <w:r>
              <w:rPr/>
              <w:t>).</w:t>
            </w:r>
          </w:p>
          <w:p>
            <w:r>
              <w:rPr/>
              <w:t>2. El instructivo oficial de la UPS (</w:t>
            </w:r>
            <w:r>
              <w:rPr>
                <w:b/>
              </w:rPr>
              <w:t>todavía no lo tenemos</w:t>
            </w:r>
            <w:r>
              <w:rPr/>
              <w:t>, ver §12).</w:t>
            </w:r>
          </w:p>
          <w:p>
            <w:r>
              <w:rPr/>
              <w:t>3. La práctica observada en tesis UPS recientes (§2).</w:t>
            </w:r>
          </w:p>
          <w:p>
            <w:r>
              <w:rPr/>
              <w:t>4. APA 7 oficial (apastyle.apa.org).</w:t>
            </w:r>
          </w:p>
          <w:p>
            <w:r>
              <w:rPr/>
              <w:t>5. Las adaptaciones al español de guías universitarias ecuatorianas (UTPL, ESPE).</w:t>
            </w:r>
          </w:p>
        </w:tc>
      </w:tr>
    </w:tbl>
    <w:p/>
    <w:p>
      <w:r>
        <w:rPr/>
        <w:t>---</w:t>
      </w:r>
    </w:p>
    <w:p>
      <w:pPr>
        <w:pStyle w:val="Heading1"/>
        <w:pBdr>
          <w:bottom w:val="single" w:sz="10" w:space="4" w:color="B87333"/>
        </w:pBdr>
      </w:pPr>
      <w:r>
        <w:t>1. Datos fijos del trabajo</w:t>
      </w:r>
    </w:p>
    <w:p>
      <w:r>
        <w:rPr/>
        <w:t xml:space="preserve">Fuente: </w:t>
      </w:r>
      <w:r>
        <w:rPr>
          <w:rFonts w:ascii="Consolas" w:hAnsi="Consolas" w:cs="Consolas" w:eastAsia="Consolas"/>
          <w:color w:val="0B1F3A"/>
          <w:sz w:val="19"/>
        </w:rPr>
        <w:t>01_Borrador_Aprobado/2026-09-29_Diseno_Titulacion_APROBADO.md</w:t>
      </w:r>
      <w:r>
        <w:rPr/>
        <w:t>.</w:t>
      </w:r>
    </w:p>
    <w:tbl>
      <w:tblPr>
        <w:tblStyle w:val="TableGrid"/>
        <w:tblW w:type="auto" w:w="0"/>
        <w:jc w:val="center"/>
        <w:tblLook w:firstColumn="1" w:firstRow="1" w:lastColumn="0" w:lastRow="0" w:noHBand="0" w:noVBand="1" w:val="04A0"/>
        <w:tblBorders>
          <w:top w:val="single" w:sz="4" w:color="B87333"/>
          <w:left w:val="single" w:sz="4" w:color="B87333"/>
          <w:bottom w:val="single" w:sz="4" w:color="B87333"/>
          <w:right w:val="single" w:sz="4" w:color="B87333"/>
          <w:insideH w:val="single" w:sz="4" w:color="C9A27E"/>
          <w:insideV w:val="single" w:sz="4" w:color="C9A27E"/>
        </w:tblBorders>
      </w:tblPr>
      <w:tblGrid>
        <w:gridCol w:w="4873"/>
        <w:gridCol w:w="4873"/>
      </w:tblGrid>
      <w:tr>
        <w:tc>
          <w:tcPr>
            <w:tcW w:type="dxa" w:w="4873"/>
            <w:shd w:val="clear" w:color="auto" w:fill="0B1F3A"/>
          </w:tcPr>
          <w:p>
            <w:pPr>
              <w:spacing w:after="20"/>
            </w:pPr>
            <w:r/>
            <w:r>
              <w:rPr>
                <w:rFonts w:ascii="Poppins" w:hAnsi="Poppins" w:cs="Poppins" w:eastAsia="Poppins"/>
                <w:b/>
                <w:color w:val="FFFFFF"/>
                <w:sz w:val="19"/>
              </w:rPr>
              <w:t>Campo</w:t>
            </w:r>
          </w:p>
        </w:tc>
        <w:tc>
          <w:tcPr>
            <w:tcW w:type="dxa" w:w="4873"/>
            <w:shd w:val="clear" w:color="auto" w:fill="0B1F3A"/>
          </w:tcPr>
          <w:p>
            <w:pPr>
              <w:spacing w:after="20"/>
            </w:pPr>
            <w:r/>
            <w:r>
              <w:rPr>
                <w:rFonts w:ascii="Poppins" w:hAnsi="Poppins" w:cs="Poppins" w:eastAsia="Poppins"/>
                <w:b/>
                <w:color w:val="FFFFFF"/>
                <w:sz w:val="19"/>
              </w:rPr>
              <w:t>Valor</w:t>
            </w:r>
          </w:p>
        </w:tc>
      </w:tr>
      <w:tr>
        <w:tc>
          <w:tcPr>
            <w:tcW w:type="dxa" w:w="4873"/>
          </w:tcPr>
          <w:p>
            <w:pPr>
              <w:spacing w:after="20"/>
            </w:pPr>
            <w:r>
              <w:rPr>
                <w:sz w:val="19"/>
              </w:rPr>
            </w:r>
            <w:r>
              <w:rPr>
                <w:sz w:val="19"/>
              </w:rPr>
              <w:t>Universidad / carrera</w:t>
            </w:r>
          </w:p>
        </w:tc>
        <w:tc>
          <w:tcPr>
            <w:tcW w:type="dxa" w:w="4873"/>
          </w:tcPr>
          <w:p>
            <w:pPr>
              <w:spacing w:after="20"/>
            </w:pPr>
            <w:r>
              <w:rPr>
                <w:sz w:val="19"/>
              </w:rPr>
            </w:r>
            <w:r>
              <w:rPr>
                <w:sz w:val="19"/>
              </w:rPr>
              <w:t xml:space="preserve">Universidad Politécnica Salesiana · Carrera de </w:t>
            </w:r>
            <w:r>
              <w:rPr>
                <w:b/>
                <w:sz w:val="19"/>
              </w:rPr>
              <w:t>Negocios Digitales</w:t>
            </w:r>
          </w:p>
        </w:tc>
      </w:tr>
      <w:tr>
        <w:tc>
          <w:tcPr>
            <w:tcW w:type="dxa" w:w="4873"/>
            <w:shd w:val="clear" w:color="auto" w:fill="EEF2F7"/>
          </w:tcPr>
          <w:p>
            <w:pPr>
              <w:spacing w:after="20"/>
            </w:pPr>
            <w:r>
              <w:rPr>
                <w:sz w:val="19"/>
              </w:rPr>
            </w:r>
            <w:r>
              <w:rPr>
                <w:sz w:val="19"/>
              </w:rPr>
              <w:t>Tipo de trabajo</w:t>
            </w:r>
          </w:p>
        </w:tc>
        <w:tc>
          <w:tcPr>
            <w:tcW w:type="dxa" w:w="4873"/>
            <w:shd w:val="clear" w:color="auto" w:fill="EEF2F7"/>
          </w:tcPr>
          <w:p>
            <w:pPr>
              <w:spacing w:after="20"/>
            </w:pPr>
            <w:r>
              <w:rPr>
                <w:sz w:val="19"/>
              </w:rPr>
            </w:r>
            <w:r>
              <w:rPr>
                <w:b/>
                <w:sz w:val="19"/>
              </w:rPr>
              <w:t>Proyecto Técnico</w:t>
            </w:r>
            <w:r>
              <w:rPr>
                <w:sz w:val="19"/>
              </w:rPr>
              <w:t xml:space="preserve"> (no «proyecto de investigación» ni «artículo académico»)</w:t>
            </w:r>
          </w:p>
        </w:tc>
      </w:tr>
      <w:tr>
        <w:tc>
          <w:tcPr>
            <w:tcW w:type="dxa" w:w="4873"/>
          </w:tcPr>
          <w:p>
            <w:pPr>
              <w:spacing w:after="20"/>
            </w:pPr>
            <w:r>
              <w:rPr>
                <w:sz w:val="19"/>
              </w:rPr>
            </w:r>
            <w:r>
              <w:rPr>
                <w:sz w:val="19"/>
              </w:rPr>
              <w:t>Título</w:t>
            </w:r>
          </w:p>
        </w:tc>
        <w:tc>
          <w:tcPr>
            <w:tcW w:type="dxa" w:w="4873"/>
          </w:tcPr>
          <w:p>
            <w:pPr>
              <w:spacing w:after="20"/>
            </w:pPr>
            <w:r>
              <w:rPr>
                <w:sz w:val="19"/>
              </w:rPr>
            </w:r>
            <w:r>
              <w:rPr>
                <w:sz w:val="19"/>
              </w:rPr>
              <w:t>Diseño de un sistema de automatización para la gestión comercial en la Constructora Torvesa</w:t>
            </w:r>
          </w:p>
        </w:tc>
      </w:tr>
      <w:tr>
        <w:tc>
          <w:tcPr>
            <w:tcW w:type="dxa" w:w="4873"/>
            <w:shd w:val="clear" w:color="auto" w:fill="EEF2F7"/>
          </w:tcPr>
          <w:p>
            <w:pPr>
              <w:spacing w:after="20"/>
            </w:pPr>
            <w:r>
              <w:rPr>
                <w:sz w:val="19"/>
              </w:rPr>
            </w:r>
            <w:r>
              <w:rPr>
                <w:sz w:val="19"/>
              </w:rPr>
              <w:t>Período</w:t>
            </w:r>
          </w:p>
        </w:tc>
        <w:tc>
          <w:tcPr>
            <w:tcW w:type="dxa" w:w="4873"/>
            <w:shd w:val="clear" w:color="auto" w:fill="EEF2F7"/>
          </w:tcPr>
          <w:p>
            <w:pPr>
              <w:spacing w:after="20"/>
            </w:pPr>
            <w:r>
              <w:rPr>
                <w:sz w:val="19"/>
              </w:rPr>
            </w:r>
            <w:r>
              <w:rPr>
                <w:sz w:val="19"/>
              </w:rPr>
              <w:t>Período 69 (septiembre 2026 – febrero 2027)</w:t>
            </w:r>
          </w:p>
        </w:tc>
      </w:tr>
      <w:tr>
        <w:tc>
          <w:tcPr>
            <w:tcW w:type="dxa" w:w="4873"/>
          </w:tcPr>
          <w:p>
            <w:pPr>
              <w:spacing w:after="20"/>
            </w:pPr>
            <w:r>
              <w:rPr>
                <w:sz w:val="19"/>
              </w:rPr>
            </w:r>
            <w:r>
              <w:rPr>
                <w:sz w:val="19"/>
              </w:rPr>
              <w:t>Tutora</w:t>
            </w:r>
          </w:p>
        </w:tc>
        <w:tc>
          <w:tcPr>
            <w:tcW w:type="dxa" w:w="4873"/>
          </w:tcPr>
          <w:p>
            <w:pPr>
              <w:spacing w:after="20"/>
            </w:pPr>
            <w:r>
              <w:rPr>
                <w:sz w:val="19"/>
              </w:rPr>
            </w:r>
            <w:r>
              <w:rPr>
                <w:sz w:val="19"/>
              </w:rPr>
              <w:t>Tania Alexandra Chicaiza Villalba</w:t>
            </w:r>
          </w:p>
        </w:tc>
      </w:tr>
      <w:tr>
        <w:tc>
          <w:tcPr>
            <w:tcW w:type="dxa" w:w="4873"/>
            <w:shd w:val="clear" w:color="auto" w:fill="EEF2F7"/>
          </w:tcPr>
          <w:p>
            <w:pPr>
              <w:spacing w:after="20"/>
            </w:pPr>
            <w:r>
              <w:rPr>
                <w:sz w:val="19"/>
              </w:rPr>
            </w:r>
            <w:r>
              <w:rPr>
                <w:sz w:val="19"/>
              </w:rPr>
              <w:t>Autores</w:t>
            </w:r>
          </w:p>
        </w:tc>
        <w:tc>
          <w:tcPr>
            <w:tcW w:type="dxa" w:w="4873"/>
            <w:shd w:val="clear" w:color="auto" w:fill="EEF2F7"/>
          </w:tcPr>
          <w:p>
            <w:pPr>
              <w:spacing w:after="20"/>
            </w:pPr>
            <w:r>
              <w:rPr>
                <w:sz w:val="19"/>
              </w:rPr>
            </w:r>
            <w:r>
              <w:rPr>
                <w:sz w:val="19"/>
              </w:rPr>
              <w:t>Diego Jhoel Bermeo Torres; Víctor Alexander Segura Heredia</w:t>
            </w:r>
          </w:p>
        </w:tc>
      </w:tr>
      <w:tr>
        <w:tc>
          <w:tcPr>
            <w:tcW w:type="dxa" w:w="4873"/>
          </w:tcPr>
          <w:p>
            <w:pPr>
              <w:spacing w:after="20"/>
            </w:pPr>
            <w:r>
              <w:rPr>
                <w:sz w:val="19"/>
              </w:rPr>
            </w:r>
            <w:r>
              <w:rPr>
                <w:sz w:val="19"/>
              </w:rPr>
              <w:t>Objetivos de aprendizaje (OVA)</w:t>
            </w:r>
          </w:p>
        </w:tc>
        <w:tc>
          <w:tcPr>
            <w:tcW w:type="dxa" w:w="4873"/>
          </w:tcPr>
          <w:p>
            <w:pPr>
              <w:spacing w:after="20"/>
            </w:pPr>
            <w:r>
              <w:rPr>
                <w:sz w:val="19"/>
              </w:rPr>
            </w:r>
            <w:r>
              <w:rPr>
                <w:sz w:val="19"/>
              </w:rPr>
              <w:t>4.1, 4.2, 4.3 · 5.1, 5.3, 5.4 · 6.1, 6.2, 6.3</w:t>
            </w:r>
          </w:p>
        </w:tc>
      </w:tr>
      <w:tr>
        <w:tc>
          <w:tcPr>
            <w:tcW w:type="dxa" w:w="4873"/>
            <w:shd w:val="clear" w:color="auto" w:fill="EEF2F7"/>
          </w:tcPr>
          <w:p>
            <w:pPr>
              <w:spacing w:after="20"/>
            </w:pPr>
            <w:r>
              <w:rPr>
                <w:sz w:val="19"/>
              </w:rPr>
            </w:r>
            <w:r>
              <w:rPr>
                <w:sz w:val="19"/>
              </w:rPr>
              <w:t>Título a obtener</w:t>
            </w:r>
          </w:p>
        </w:tc>
        <w:tc>
          <w:tcPr>
            <w:tcW w:type="dxa" w:w="4873"/>
            <w:shd w:val="clear" w:color="auto" w:fill="EEF2F7"/>
          </w:tcPr>
          <w:p>
            <w:pPr>
              <w:spacing w:after="20"/>
            </w:pPr>
            <w:r>
              <w:rPr>
                <w:sz w:val="19"/>
              </w:rPr>
            </w:r>
            <w:r>
              <w:rPr>
                <w:sz w:val="19"/>
              </w:rPr>
              <w:t>Licenciado en Negocios Digitales (así figura en la tesis UPS de la carrera de 2026)</w:t>
            </w:r>
          </w:p>
        </w:tc>
      </w:tr>
    </w:tbl>
    <w:p/>
    <w:p>
      <w:r>
        <w:rPr/>
        <w:t xml:space="preserve">Reglas de vocabulario que </w:t>
      </w:r>
      <w:r>
        <w:rPr>
          <w:b/>
        </w:rPr>
        <w:t>no se negocian</w:t>
      </w:r>
      <w:r>
        <w:rPr/>
        <w:t xml:space="preserve"> (ver </w:t>
      </w:r>
      <w:r>
        <w:rPr>
          <w:rFonts w:ascii="Consolas" w:hAnsi="Consolas" w:cs="Consolas" w:eastAsia="Consolas"/>
          <w:color w:val="0B1F3A"/>
          <w:sz w:val="19"/>
        </w:rPr>
        <w:t>CLAUDE.md</w:t>
      </w:r>
      <w:r>
        <w:rPr/>
        <w:t>):</w:t>
      </w:r>
    </w:p>
    <w:p>
      <w:pPr>
        <w:pStyle w:val="ListBullet"/>
      </w:pPr>
      <w:r>
        <w:rPr>
          <w:b/>
        </w:rPr>
        <w:t>«validación del diseño en operación experimental controlada»</w:t>
      </w:r>
      <w:r>
        <w:rPr/>
        <w:t>, nunca «piloto» ni «implementado».</w:t>
      </w:r>
    </w:p>
    <w:p>
      <w:pPr>
        <w:pStyle w:val="ListBullet"/>
      </w:pPr>
      <w:r>
        <w:rPr/>
        <w:t xml:space="preserve">Los datos simulados (N = 30) </w:t>
      </w:r>
      <w:r>
        <w:rPr>
          <w:b/>
        </w:rPr>
        <w:t>no existen</w:t>
      </w:r>
      <w:r>
        <w:rPr/>
        <w:t xml:space="preserve"> para la tesis.</w:t>
      </w:r>
    </w:p>
    <w:p>
      <w:r>
        <w:rPr/>
        <w:t>---</w:t>
      </w:r>
    </w:p>
    <w:p>
      <w:pPr>
        <w:pStyle w:val="Heading1"/>
        <w:pBdr>
          <w:bottom w:val="single" w:sz="10" w:space="4" w:color="B87333"/>
        </w:pBdr>
      </w:pPr>
      <w:r>
        <w:t>2. Estructura del documento</w:t>
      </w:r>
    </w:p>
    <w:p>
      <w:pPr>
        <w:pStyle w:val="Heading2"/>
      </w:pPr>
      <w:r>
        <w:t>2.1 Lo que se observó en tesis UPS reales (2024–2026)</w:t>
      </w:r>
    </w:p>
    <w:p>
      <w:r>
        <w:rPr/>
        <w:t>Se revisaron dos trabajos del repositorio DSpace de la UPS:</w:t>
      </w:r>
    </w:p>
    <w:p>
      <w:pPr>
        <w:pStyle w:val="ListBullet"/>
      </w:pPr>
      <w:r>
        <w:rPr/>
        <w:t xml:space="preserve">Ordoñez (2026), </w:t>
      </w:r>
      <w:r>
        <w:rPr>
          <w:b/>
        </w:rPr>
        <w:t>Negocios Digitales, Quito</w:t>
      </w:r>
      <w:r>
        <w:rPr/>
        <w:t>, «proyecto de investigación».</w:t>
      </w:r>
    </w:p>
    <w:p>
      <w:pPr>
        <w:pStyle w:val="ListBullet"/>
      </w:pPr>
      <w:r>
        <w:rPr/>
        <w:t>Carrión (2024), Computación, Guayaquil, «artículo académico».</w:t>
      </w:r>
    </w:p>
    <w:p>
      <w:r>
        <w:rPr/>
        <w:t xml:space="preserve">Hay elementos comunes y obligatorios </w:t>
      </w:r>
      <w:r>
        <w:rPr>
          <w:b/>
        </w:rPr>
        <w:t>en este orden</w:t>
      </w:r>
      <w:r>
        <w:rPr/>
        <w:t>:</w:t>
      </w:r>
    </w:p>
    <w:p>
      <w:pPr>
        <w:pStyle w:val="ListNumber"/>
      </w:pPr>
      <w:r>
        <w:rPr>
          <w:b/>
        </w:rPr>
        <w:t>Portada:</w:t>
      </w:r>
      <w:r>
        <w:rPr/>
        <w:t xml:space="preserve"> «UNIVERSIDAD POLITÉCNICA SALESIANA / SEDE [ciudad] / CARRERA DE NEGOCIOS DIGITALES», el título en mayúsculas, «Trabajo de titulación previo a la obtención del título de Licenciado en Negocios Digitales», autores, tutor (con título académico), «[Ciudad] – Ecuador» y el año.</w:t>
      </w:r>
    </w:p>
    <w:p>
      <w:pPr>
        <w:pStyle w:val="ListNumber"/>
      </w:pPr>
      <w:r>
        <w:rPr>
          <w:b/>
        </w:rPr>
        <w:t>Certificado de responsabilidad y autoría del trabajo de titulación:</w:t>
      </w:r>
      <w:r>
        <w:rPr/>
        <w:t xml:space="preserve"> firmado por cada autor, con su cédula.  En la versión de 2026 incluye una </w:t>
      </w:r>
      <w:r>
        <w:rPr>
          <w:b/>
        </w:rPr>
        <w:t>declaración de uso de IA</w:t>
      </w:r>
      <w:r>
        <w:rPr/>
        <w:t xml:space="preserve">: «declaro que he utilizado herramientas de inteligencia artificial solo para efectos de mejorar la redacción y puntuación del trabajo, lo cual consta en las citas y referencias». La de 2024 no la tenía → </w:t>
      </w:r>
      <w:r>
        <w:rPr>
          <w:b/>
        </w:rPr>
        <w:t>la UPS la agregó hace poco</w:t>
      </w:r>
      <w:r>
        <w:rPr/>
        <w:t>. Confirmar el texto vigente con la tutora (ver §10).</w:t>
      </w:r>
    </w:p>
    <w:p>
      <w:pPr>
        <w:pStyle w:val="ListNumber"/>
      </w:pPr>
      <w:r>
        <w:rPr>
          <w:b/>
        </w:rPr>
        <w:t>Certificado de cesión de derechos de autor</w:t>
      </w:r>
      <w:r>
        <w:rPr/>
        <w:t xml:space="preserve"> a la UPS.</w:t>
      </w:r>
    </w:p>
    <w:p>
      <w:pPr>
        <w:pStyle w:val="ListNumber"/>
      </w:pPr>
      <w:r>
        <w:rPr>
          <w:b/>
        </w:rPr>
        <w:t>Certificado de dirección:</w:t>
      </w:r>
      <w:r>
        <w:rPr/>
        <w:t xml:space="preserve"> lo firma la tutora y nombra la opción de titulación («proyecto técnico»).</w:t>
      </w:r>
    </w:p>
    <w:p>
      <w:pPr>
        <w:pStyle w:val="ListNumber"/>
      </w:pPr>
      <w:r>
        <w:rPr/>
        <w:t>Dedicatoria y agradecimiento (opcionales).</w:t>
      </w:r>
    </w:p>
    <w:p>
      <w:pPr>
        <w:pStyle w:val="ListNumber"/>
      </w:pPr>
      <w:r>
        <w:rPr>
          <w:b/>
        </w:rPr>
        <w:t>Índice de contenidos</w:t>
      </w:r>
      <w:r>
        <w:rPr/>
        <w:t xml:space="preserve">, </w:t>
      </w:r>
      <w:r>
        <w:rPr>
          <w:b/>
        </w:rPr>
        <w:t>índice de tablas</w:t>
      </w:r>
      <w:r>
        <w:rPr/>
        <w:t xml:space="preserve"> e </w:t>
      </w:r>
      <w:r>
        <w:rPr>
          <w:b/>
        </w:rPr>
        <w:t>índice de figuras</w:t>
      </w:r>
      <w:r>
        <w:rPr/>
        <w:t xml:space="preserve"> (generados automáticamente).</w:t>
      </w:r>
    </w:p>
    <w:p>
      <w:pPr>
        <w:pStyle w:val="ListNumber"/>
      </w:pPr>
      <w:r>
        <w:rPr>
          <w:b/>
        </w:rPr>
        <w:t>Resumen</w:t>
      </w:r>
      <w:r>
        <w:rPr/>
        <w:t xml:space="preserve"> y </w:t>
      </w:r>
      <w:r>
        <w:rPr>
          <w:b/>
        </w:rPr>
        <w:t>Abstract</w:t>
      </w:r>
      <w:r>
        <w:rPr/>
        <w:t xml:space="preserve">, cada uno con palabras clave. Un documento de terceros dice que el máximo es de </w:t>
      </w:r>
      <w:r>
        <w:rPr>
          <w:b/>
        </w:rPr>
        <w:t>350 palabras</w:t>
      </w:r>
      <w:r>
        <w:rPr/>
        <w:t xml:space="preserve">: </w:t>
      </w:r>
      <w:r>
        <w:rPr>
          <w:b/>
        </w:rPr>
        <w:t>verificar</w:t>
      </w:r>
      <w:r>
        <w:rPr/>
        <w:t>.</w:t>
      </w:r>
    </w:p>
    <w:p>
      <w:pPr>
        <w:pStyle w:val="ListNumber"/>
      </w:pPr>
      <w:r>
        <w:rPr>
          <w:b/>
        </w:rPr>
        <w:t>Introducción:</w:t>
      </w:r>
      <w:r>
        <w:rPr/>
        <w:t xml:space="preserve"> sin numeración. Cierra con un párrafo que describe la estructura del documento por capítulos.</w:t>
      </w:r>
    </w:p>
    <w:p>
      <w:pPr>
        <w:pStyle w:val="ListNumber"/>
      </w:pPr>
      <w:r>
        <w:rPr>
          <w:b/>
        </w:rPr>
        <w:t>Capítulos</w:t>
      </w:r>
      <w:r>
        <w:rPr/>
        <w:t xml:space="preserve"> numerados «CAPÍTULO I: …» con subtítulos decimales (1.1, 1.1.1).</w:t>
      </w:r>
    </w:p>
    <w:p>
      <w:pPr>
        <w:pStyle w:val="ListNumber"/>
      </w:pPr>
      <w:r>
        <w:rPr>
          <w:b/>
        </w:rPr>
        <w:t>Conclusiones</w:t>
      </w:r>
      <w:r>
        <w:rPr/>
        <w:t xml:space="preserve"> (organizadas </w:t>
      </w:r>
      <w:r>
        <w:rPr>
          <w:b/>
        </w:rPr>
        <w:t>por objetivo específico</w:t>
      </w:r>
      <w:r>
        <w:rPr/>
        <w:t xml:space="preserve">) y </w:t>
      </w:r>
      <w:r>
        <w:rPr>
          <w:b/>
        </w:rPr>
        <w:t>recomendaciones</w:t>
      </w:r>
      <w:r>
        <w:rPr/>
        <w:t>.</w:t>
      </w:r>
    </w:p>
    <w:p>
      <w:pPr>
        <w:pStyle w:val="ListNumber"/>
      </w:pPr>
      <w:r>
        <w:rPr>
          <w:b/>
        </w:rPr>
        <w:t>Referencias.</w:t>
      </w:r>
      <w:r>
        <w:rPr/>
        <w:t xml:space="preserve"> Usar ese nombre (APA); la tesis de 2026 dice «Bibliografía», pero es un mal ejemplo, ver §6.4.</w:t>
      </w:r>
    </w:p>
    <w:p>
      <w:pPr>
        <w:pStyle w:val="ListNumber"/>
      </w:pPr>
      <w:r>
        <w:rPr>
          <w:b/>
        </w:rPr>
        <w:t>Anexos</w:t>
      </w:r>
      <w:r>
        <w:rPr/>
        <w:t xml:space="preserve"> numerados: «Anexo 1.», «Anexo 1.1».</w:t>
      </w:r>
    </w:p>
    <w:p>
      <w:r>
        <w:rPr>
          <w:b/>
        </w:rPr>
        <w:t>Formato medido en la tesis de Negocios Digitales 2026:</w:t>
      </w:r>
      <w:r>
        <w:rPr/>
        <w:t xml:space="preserve"> hoja </w:t>
      </w:r>
      <w:r>
        <w:rPr>
          <w:b/>
        </w:rPr>
        <w:t>A4</w:t>
      </w:r>
      <w:r>
        <w:rPr/>
        <w:t xml:space="preserve">, márgenes de </w:t>
      </w:r>
      <w:r>
        <w:rPr>
          <w:b/>
        </w:rPr>
        <w:t>2,54 cm</w:t>
      </w:r>
      <w:r>
        <w:rPr/>
        <w:t xml:space="preserve">, </w:t>
      </w:r>
      <w:r>
        <w:rPr>
          <w:b/>
        </w:rPr>
        <w:t>Times New Roman 12</w:t>
      </w:r>
      <w:r>
        <w:rPr/>
        <w:t xml:space="preserve">, interlineado ≈ </w:t>
      </w:r>
      <w:r>
        <w:rPr>
          <w:b/>
        </w:rPr>
        <w:t>1,5</w:t>
      </w:r>
      <w:r>
        <w:rPr/>
        <w:t xml:space="preserve">, títulos de capítulo en 16 pt negrita y tablas numeradas «Tabla 1». Esto </w:t>
      </w:r>
      <w:r>
        <w:rPr>
          <w:b/>
        </w:rPr>
        <w:t>difiere de APA estudiantil</w:t>
      </w:r>
      <w:r>
        <w:rPr/>
        <w:t xml:space="preserve"> (carta, doble espacio, sin numerar títulos). </w:t>
      </w:r>
      <w:r>
        <w:rPr>
          <w:b/>
        </w:rPr>
        <w:t>Gana la práctica UPS</w:t>
      </w:r>
      <w:r>
        <w:rPr/>
        <w:t xml:space="preserve"> hasta que la tutora diga otra cosa (§12).</w:t>
      </w:r>
    </w:p>
    <w:p>
      <w:pPr>
        <w:pStyle w:val="Heading2"/>
      </w:pPr>
      <w:r>
        <w:t>2.2 Estructura propuesta para nuestra tesis (Proyecto Técnico + DSR)</w:t>
      </w:r>
    </w:p>
    <w:p>
      <w:r>
        <w:rPr/>
        <w:t>El marco es la investigación en ciencia del diseño (</w:t>
      </w:r>
      <w:r>
        <w:rPr>
          <w:b/>
        </w:rPr>
        <w:t>DSR</w:t>
      </w:r>
      <w:r>
        <w:rPr/>
        <w:t xml:space="preserve">). Sus seis actividades (Peffers et al., 2007) deben verse en el documento: (1) identificar el problema, (2) definir los objetivos de la solución, (3) diseñar y desarrollar, (4) demostrar, (5) evaluar y (6) comunicar. Según Gregor y Hevner (2013), en DSR </w:t>
      </w:r>
      <w:r>
        <w:rPr>
          <w:b/>
        </w:rPr>
        <w:t>la descripción del artefacto ocupa el lugar de la sección de resultados</w:t>
      </w:r>
      <w:r>
        <w:rPr/>
        <w:t xml:space="preserve"> de un trabajo empírico.</w:t>
      </w:r>
    </w:p>
    <w:tbl>
      <w:tblPr>
        <w:tblStyle w:val="TableGrid"/>
        <w:tblW w:type="auto" w:w="0"/>
        <w:jc w:val="center"/>
        <w:tblLook w:firstColumn="1" w:firstRow="1" w:lastColumn="0" w:lastRow="0" w:noHBand="0" w:noVBand="1" w:val="04A0"/>
        <w:tblBorders>
          <w:top w:val="single" w:sz="4" w:color="B87333"/>
          <w:left w:val="single" w:sz="4" w:color="B87333"/>
          <w:bottom w:val="single" w:sz="4" w:color="B87333"/>
          <w:right w:val="single" w:sz="4" w:color="B87333"/>
          <w:insideH w:val="single" w:sz="4" w:color="C9A27E"/>
          <w:insideV w:val="single" w:sz="4" w:color="C9A27E"/>
        </w:tblBorders>
      </w:tblPr>
      <w:tblGrid>
        <w:gridCol w:w="1624"/>
        <w:gridCol w:w="1624"/>
        <w:gridCol w:w="1624"/>
        <w:gridCol w:w="1624"/>
        <w:gridCol w:w="1624"/>
        <w:gridCol w:w="1624"/>
      </w:tblGrid>
      <w:tr>
        <w:tc>
          <w:tcPr>
            <w:tcW w:type="dxa" w:w="1624"/>
            <w:shd w:val="clear" w:color="auto" w:fill="0B1F3A"/>
          </w:tcPr>
          <w:p>
            <w:pPr>
              <w:spacing w:after="20"/>
            </w:pPr>
            <w:r/>
            <w:r>
              <w:rPr>
                <w:rFonts w:ascii="Poppins" w:hAnsi="Poppins" w:cs="Poppins" w:eastAsia="Poppins"/>
                <w:b/>
                <w:color w:val="FFFFFF"/>
                <w:sz w:val="19"/>
              </w:rPr>
              <w:t>Parte</w:t>
            </w:r>
          </w:p>
        </w:tc>
        <w:tc>
          <w:tcPr>
            <w:tcW w:type="dxa" w:w="1624"/>
            <w:shd w:val="clear" w:color="auto" w:fill="0B1F3A"/>
          </w:tcPr>
          <w:p>
            <w:pPr>
              <w:spacing w:after="20"/>
            </w:pPr>
            <w:r/>
            <w:r>
              <w:rPr>
                <w:rFonts w:ascii="Poppins" w:hAnsi="Poppins" w:cs="Poppins" w:eastAsia="Poppins"/>
                <w:b/>
                <w:color w:val="FFFFFF"/>
                <w:sz w:val="19"/>
              </w:rPr>
              <w:t>Contenido</w:t>
            </w:r>
          </w:p>
        </w:tc>
        <w:tc>
          <w:tcPr>
            <w:tcW w:type="dxa" w:w="1624"/>
            <w:shd w:val="clear" w:color="auto" w:fill="0B1F3A"/>
          </w:tcPr>
          <w:p>
            <w:pPr>
              <w:spacing w:after="20"/>
            </w:pPr>
            <w:r/>
            <w:r>
              <w:rPr>
                <w:rFonts w:ascii="Poppins" w:hAnsi="Poppins" w:cs="Poppins" w:eastAsia="Poppins"/>
                <w:b/>
                <w:color w:val="FFFFFF"/>
                <w:sz w:val="19"/>
              </w:rPr>
              <w:t>Actividad DSR</w:t>
            </w:r>
          </w:p>
        </w:tc>
        <w:tc>
          <w:tcPr>
            <w:tcW w:type="dxa" w:w="1624"/>
            <w:shd w:val="clear" w:color="auto" w:fill="0B1F3A"/>
          </w:tcPr>
          <w:p>
            <w:pPr>
              <w:spacing w:after="20"/>
            </w:pPr>
            <w:r/>
            <w:r>
              <w:rPr>
                <w:rFonts w:ascii="Poppins" w:hAnsi="Poppins" w:cs="Poppins" w:eastAsia="Poppins"/>
                <w:b/>
                <w:color w:val="FFFFFF"/>
                <w:sz w:val="19"/>
              </w:rPr>
              <w:t>Objetivo / OVA</w:t>
            </w:r>
          </w:p>
        </w:tc>
        <w:tc>
          <w:tcPr>
            <w:tcW w:type="dxa" w:w="1624"/>
            <w:shd w:val="clear" w:color="auto" w:fill="0B1F3A"/>
          </w:tcPr>
          <w:p>
            <w:pPr>
              <w:spacing w:after="20"/>
            </w:pPr>
            <w:r/>
            <w:r>
              <w:rPr>
                <w:rFonts w:ascii="Poppins" w:hAnsi="Poppins" w:cs="Poppins" w:eastAsia="Poppins"/>
                <w:b/>
                <w:color w:val="FFFFFF"/>
                <w:sz w:val="19"/>
              </w:rPr>
              <w:t>Insumos en la bóveda</w:t>
            </w:r>
          </w:p>
        </w:tc>
        <w:tc>
          <w:tcPr>
            <w:tcW w:type="dxa" w:w="1624"/>
            <w:shd w:val="clear" w:color="auto" w:fill="0B1F3A"/>
          </w:tcPr>
          <w:p>
            <w:pPr>
              <w:spacing w:after="20"/>
            </w:pPr>
            <w:r/>
            <w:r>
              <w:rPr>
                <w:rFonts w:ascii="Poppins" w:hAnsi="Poppins" w:cs="Poppins" w:eastAsia="Poppins"/>
                <w:b/>
                <w:color w:val="FFFFFF"/>
                <w:sz w:val="19"/>
              </w:rPr>
              <w:t>Sprint</w:t>
            </w:r>
          </w:p>
        </w:tc>
      </w:tr>
      <w:tr>
        <w:tc>
          <w:tcPr>
            <w:tcW w:type="dxa" w:w="1624"/>
          </w:tcPr>
          <w:p>
            <w:pPr>
              <w:spacing w:after="20"/>
            </w:pPr>
            <w:r>
              <w:rPr>
                <w:sz w:val="19"/>
              </w:rPr>
            </w:r>
            <w:r>
              <w:rPr>
                <w:sz w:val="19"/>
              </w:rPr>
              <w:t>Introducción</w:t>
            </w:r>
          </w:p>
        </w:tc>
        <w:tc>
          <w:tcPr>
            <w:tcW w:type="dxa" w:w="1624"/>
          </w:tcPr>
          <w:p>
            <w:pPr>
              <w:spacing w:after="20"/>
            </w:pPr>
            <w:r>
              <w:rPr>
                <w:sz w:val="19"/>
              </w:rPr>
            </w:r>
            <w:r>
              <w:rPr>
                <w:sz w:val="19"/>
              </w:rPr>
              <w:t>Contexto breve, problema, propósito, método en una línea, estructura</w:t>
            </w:r>
          </w:p>
        </w:tc>
        <w:tc>
          <w:tcPr>
            <w:tcW w:type="dxa" w:w="1624"/>
          </w:tcPr>
          <w:p>
            <w:pPr>
              <w:spacing w:after="20"/>
            </w:pPr>
            <w:r>
              <w:rPr>
                <w:sz w:val="19"/>
              </w:rPr>
            </w:r>
            <w:r>
              <w:rPr>
                <w:sz w:val="19"/>
              </w:rPr>
              <w:t>—</w:t>
            </w:r>
          </w:p>
        </w:tc>
        <w:tc>
          <w:tcPr>
            <w:tcW w:type="dxa" w:w="1624"/>
          </w:tcPr>
          <w:p>
            <w:pPr>
              <w:spacing w:after="20"/>
            </w:pPr>
            <w:r>
              <w:rPr>
                <w:sz w:val="19"/>
              </w:rPr>
            </w:r>
            <w:r>
              <w:rPr>
                <w:sz w:val="19"/>
              </w:rPr>
              <w:t>—</w:t>
            </w:r>
          </w:p>
        </w:tc>
        <w:tc>
          <w:tcPr>
            <w:tcW w:type="dxa" w:w="1624"/>
          </w:tcPr>
          <w:p>
            <w:pPr>
              <w:spacing w:after="20"/>
            </w:pPr>
            <w:r>
              <w:rPr>
                <w:sz w:val="19"/>
              </w:rPr>
            </w:r>
            <w:r>
              <w:rPr>
                <w:sz w:val="19"/>
              </w:rPr>
              <w:t>Borrador aprobado</w:t>
            </w:r>
          </w:p>
        </w:tc>
        <w:tc>
          <w:tcPr>
            <w:tcW w:type="dxa" w:w="1624"/>
          </w:tcPr>
          <w:p>
            <w:pPr>
              <w:spacing w:after="20"/>
            </w:pPr>
            <w:r>
              <w:rPr>
                <w:sz w:val="19"/>
              </w:rPr>
            </w:r>
            <w:r>
              <w:rPr>
                <w:sz w:val="19"/>
              </w:rPr>
              <w:t>S9</w:t>
            </w:r>
          </w:p>
        </w:tc>
      </w:tr>
      <w:tr>
        <w:tc>
          <w:tcPr>
            <w:tcW w:type="dxa" w:w="1624"/>
            <w:shd w:val="clear" w:color="auto" w:fill="EEF2F7"/>
          </w:tcPr>
          <w:p>
            <w:pPr>
              <w:spacing w:after="20"/>
            </w:pPr>
            <w:r>
              <w:rPr>
                <w:sz w:val="19"/>
              </w:rPr>
            </w:r>
            <w:r>
              <w:rPr>
                <w:b/>
                <w:sz w:val="19"/>
              </w:rPr>
              <w:t>Cap. I · El problema</w:t>
            </w:r>
          </w:p>
        </w:tc>
        <w:tc>
          <w:tcPr>
            <w:tcW w:type="dxa" w:w="1624"/>
            <w:shd w:val="clear" w:color="auto" w:fill="EEF2F7"/>
          </w:tcPr>
          <w:p>
            <w:pPr>
              <w:spacing w:after="20"/>
            </w:pPr>
            <w:r>
              <w:rPr>
                <w:sz w:val="19"/>
              </w:rPr>
            </w:r>
            <w:r>
              <w:rPr>
                <w:sz w:val="19"/>
              </w:rPr>
              <w:t>Contexto (IA desde 2021, Ecuador, construcción), Torvesa, problema, pregunta, justificación, objetivos, alcance y delimitación</w:t>
            </w:r>
          </w:p>
        </w:tc>
        <w:tc>
          <w:tcPr>
            <w:tcW w:type="dxa" w:w="1624"/>
            <w:shd w:val="clear" w:color="auto" w:fill="EEF2F7"/>
          </w:tcPr>
          <w:p>
            <w:pPr>
              <w:spacing w:after="20"/>
            </w:pPr>
            <w:r>
              <w:rPr>
                <w:sz w:val="19"/>
              </w:rPr>
            </w:r>
            <w:r>
              <w:rPr>
                <w:sz w:val="19"/>
              </w:rPr>
              <w:t>1 y 2</w:t>
            </w:r>
          </w:p>
        </w:tc>
        <w:tc>
          <w:tcPr>
            <w:tcW w:type="dxa" w:w="1624"/>
            <w:shd w:val="clear" w:color="auto" w:fill="EEF2F7"/>
          </w:tcPr>
          <w:p>
            <w:pPr>
              <w:spacing w:after="20"/>
            </w:pPr>
            <w:r>
              <w:rPr>
                <w:sz w:val="19"/>
              </w:rPr>
            </w:r>
            <w:r>
              <w:rPr>
                <w:sz w:val="19"/>
              </w:rPr>
              <w:t>4.1</w:t>
            </w:r>
          </w:p>
        </w:tc>
        <w:tc>
          <w:tcPr>
            <w:tcW w:type="dxa" w:w="1624"/>
            <w:shd w:val="clear" w:color="auto" w:fill="EEF2F7"/>
          </w:tcPr>
          <w:p>
            <w:pPr>
              <w:spacing w:after="20"/>
            </w:pPr>
            <w:r>
              <w:rPr>
                <w:sz w:val="19"/>
              </w:rPr>
            </w:r>
            <w:r>
              <w:rPr>
                <w:rFonts w:ascii="Consolas" w:hAnsi="Consolas" w:cs="Consolas" w:eastAsia="Consolas"/>
                <w:color w:val="0B1F3A"/>
                <w:sz w:val="19"/>
              </w:rPr>
              <w:t>02_Fuentes/Base_Fuentes_2021-2026</w:t>
            </w:r>
            <w:r>
              <w:rPr>
                <w:sz w:val="19"/>
              </w:rPr>
              <w:t xml:space="preserve">, matriz en </w:t>
            </w:r>
            <w:r>
              <w:rPr>
                <w:rFonts w:ascii="Consolas" w:hAnsi="Consolas" w:cs="Consolas" w:eastAsia="Consolas"/>
                <w:color w:val="0B1F3A"/>
                <w:sz w:val="19"/>
              </w:rPr>
              <w:t>03_Matriz_Objetivos/</w:t>
            </w:r>
            <w:r>
              <w:rPr>
                <w:sz w:val="19"/>
              </w:rPr>
              <w:t>, afirmaciones A1–A10</w:t>
            </w:r>
          </w:p>
        </w:tc>
        <w:tc>
          <w:tcPr>
            <w:tcW w:type="dxa" w:w="1624"/>
            <w:shd w:val="clear" w:color="auto" w:fill="EEF2F7"/>
          </w:tcPr>
          <w:p>
            <w:pPr>
              <w:spacing w:after="20"/>
            </w:pPr>
            <w:r>
              <w:rPr>
                <w:sz w:val="19"/>
              </w:rPr>
            </w:r>
            <w:r>
              <w:rPr>
                <w:sz w:val="19"/>
              </w:rPr>
              <w:t>S2</w:t>
            </w:r>
          </w:p>
        </w:tc>
      </w:tr>
      <w:tr>
        <w:tc>
          <w:tcPr>
            <w:tcW w:type="dxa" w:w="1624"/>
          </w:tcPr>
          <w:p>
            <w:pPr>
              <w:spacing w:after="20"/>
            </w:pPr>
            <w:r>
              <w:rPr>
                <w:sz w:val="19"/>
              </w:rPr>
            </w:r>
            <w:r>
              <w:rPr>
                <w:b/>
                <w:sz w:val="19"/>
              </w:rPr>
              <w:t>Cap. II · Marco teórico</w:t>
            </w:r>
          </w:p>
        </w:tc>
        <w:tc>
          <w:tcPr>
            <w:tcW w:type="dxa" w:w="1624"/>
          </w:tcPr>
          <w:p>
            <w:pPr>
              <w:spacing w:after="20"/>
            </w:pPr>
            <w:r>
              <w:rPr>
                <w:sz w:val="19"/>
              </w:rPr>
            </w:r>
            <w:r>
              <w:rPr>
                <w:sz w:val="19"/>
              </w:rPr>
              <w:t>Antecedentes 2021+, bases teóricas (CRM y CRM móvil, tiempo de respuesta, gestión del conocimiento, RAG), bases legales (LOPDP), discusión crítica y vacíos (A27–A29)</w:t>
            </w:r>
          </w:p>
        </w:tc>
        <w:tc>
          <w:tcPr>
            <w:tcW w:type="dxa" w:w="1624"/>
          </w:tcPr>
          <w:p>
            <w:pPr>
              <w:spacing w:after="20"/>
            </w:pPr>
            <w:r>
              <w:rPr>
                <w:sz w:val="19"/>
              </w:rPr>
            </w:r>
            <w:r>
              <w:rPr>
                <w:sz w:val="19"/>
              </w:rPr>
              <w:t>1</w:t>
            </w:r>
          </w:p>
        </w:tc>
        <w:tc>
          <w:tcPr>
            <w:tcW w:type="dxa" w:w="1624"/>
          </w:tcPr>
          <w:p>
            <w:pPr>
              <w:spacing w:after="20"/>
            </w:pPr>
            <w:r>
              <w:rPr>
                <w:sz w:val="19"/>
              </w:rPr>
            </w:r>
            <w:r>
              <w:rPr>
                <w:sz w:val="19"/>
              </w:rPr>
              <w:t>4.2</w:t>
            </w:r>
          </w:p>
        </w:tc>
        <w:tc>
          <w:tcPr>
            <w:tcW w:type="dxa" w:w="1624"/>
          </w:tcPr>
          <w:p>
            <w:pPr>
              <w:spacing w:after="20"/>
            </w:pPr>
            <w:r>
              <w:rPr>
                <w:sz w:val="19"/>
              </w:rPr>
            </w:r>
            <w:r>
              <w:rPr>
                <w:sz w:val="19"/>
              </w:rPr>
              <w:t>Fichas verificadas por categoría</w:t>
            </w:r>
          </w:p>
        </w:tc>
        <w:tc>
          <w:tcPr>
            <w:tcW w:type="dxa" w:w="1624"/>
          </w:tcPr>
          <w:p>
            <w:pPr>
              <w:spacing w:after="20"/>
            </w:pPr>
            <w:r>
              <w:rPr>
                <w:sz w:val="19"/>
              </w:rPr>
            </w:r>
            <w:r>
              <w:rPr>
                <w:sz w:val="19"/>
              </w:rPr>
              <w:t>S2</w:t>
            </w:r>
          </w:p>
        </w:tc>
      </w:tr>
      <w:tr>
        <w:tc>
          <w:tcPr>
            <w:tcW w:type="dxa" w:w="1624"/>
            <w:shd w:val="clear" w:color="auto" w:fill="EEF2F7"/>
          </w:tcPr>
          <w:p>
            <w:pPr>
              <w:spacing w:after="20"/>
            </w:pPr>
            <w:r>
              <w:rPr>
                <w:sz w:val="19"/>
              </w:rPr>
            </w:r>
            <w:r>
              <w:rPr>
                <w:b/>
                <w:sz w:val="19"/>
              </w:rPr>
              <w:t>Cap. III · Metodología</w:t>
            </w:r>
          </w:p>
        </w:tc>
        <w:tc>
          <w:tcPr>
            <w:tcW w:type="dxa" w:w="1624"/>
            <w:shd w:val="clear" w:color="auto" w:fill="EEF2F7"/>
          </w:tcPr>
          <w:p>
            <w:pPr>
              <w:spacing w:after="20"/>
            </w:pPr>
            <w:r>
              <w:rPr>
                <w:sz w:val="19"/>
              </w:rPr>
            </w:r>
            <w:r>
              <w:rPr>
                <w:sz w:val="19"/>
              </w:rPr>
              <w:t>Enfoque mixto con predominio cuantitativo, DSR + Design Thinking + Scrum, población (dos censos), instrumentos, procedimiento, análisis y ética (LOPDP, consentimiento)</w:t>
            </w:r>
          </w:p>
        </w:tc>
        <w:tc>
          <w:tcPr>
            <w:tcW w:type="dxa" w:w="1624"/>
            <w:shd w:val="clear" w:color="auto" w:fill="EEF2F7"/>
          </w:tcPr>
          <w:p>
            <w:pPr>
              <w:spacing w:after="20"/>
            </w:pPr>
            <w:r>
              <w:rPr>
                <w:sz w:val="19"/>
              </w:rPr>
            </w:r>
            <w:r>
              <w:rPr>
                <w:sz w:val="19"/>
              </w:rPr>
              <w:t>marco</w:t>
            </w:r>
          </w:p>
        </w:tc>
        <w:tc>
          <w:tcPr>
            <w:tcW w:type="dxa" w:w="1624"/>
            <w:shd w:val="clear" w:color="auto" w:fill="EEF2F7"/>
          </w:tcPr>
          <w:p>
            <w:pPr>
              <w:spacing w:after="20"/>
            </w:pPr>
            <w:r>
              <w:rPr>
                <w:sz w:val="19"/>
              </w:rPr>
            </w:r>
            <w:r>
              <w:rPr>
                <w:sz w:val="19"/>
              </w:rPr>
              <w:t>4.3</w:t>
            </w:r>
          </w:p>
        </w:tc>
        <w:tc>
          <w:tcPr>
            <w:tcW w:type="dxa" w:w="1624"/>
            <w:shd w:val="clear" w:color="auto" w:fill="EEF2F7"/>
          </w:tcPr>
          <w:p>
            <w:pPr>
              <w:spacing w:after="20"/>
            </w:pPr>
            <w:r>
              <w:rPr>
                <w:sz w:val="19"/>
              </w:rPr>
            </w:r>
            <w:r>
              <w:rPr>
                <w:rFonts w:ascii="Consolas" w:hAnsi="Consolas" w:cs="Consolas" w:eastAsia="Consolas"/>
                <w:color w:val="0B1F3A"/>
                <w:sz w:val="19"/>
              </w:rPr>
              <w:t>04_Instrumentos/</w:t>
            </w:r>
            <w:r>
              <w:rPr>
                <w:sz w:val="19"/>
              </w:rPr>
              <w:t>, decisiones D2 y D4</w:t>
            </w:r>
          </w:p>
        </w:tc>
        <w:tc>
          <w:tcPr>
            <w:tcW w:type="dxa" w:w="1624"/>
            <w:shd w:val="clear" w:color="auto" w:fill="EEF2F7"/>
          </w:tcPr>
          <w:p>
            <w:pPr>
              <w:spacing w:after="20"/>
            </w:pPr>
            <w:r>
              <w:rPr>
                <w:sz w:val="19"/>
              </w:rPr>
            </w:r>
            <w:r>
              <w:rPr>
                <w:sz w:val="19"/>
              </w:rPr>
              <w:t>S2</w:t>
            </w:r>
          </w:p>
        </w:tc>
      </w:tr>
      <w:tr>
        <w:tc>
          <w:tcPr>
            <w:tcW w:type="dxa" w:w="1624"/>
          </w:tcPr>
          <w:p>
            <w:pPr>
              <w:spacing w:after="20"/>
            </w:pPr>
            <w:r>
              <w:rPr>
                <w:sz w:val="19"/>
              </w:rPr>
            </w:r>
            <w:r>
              <w:rPr>
                <w:b/>
                <w:sz w:val="19"/>
              </w:rPr>
              <w:t>Cap. IV · Diagnóstico</w:t>
            </w:r>
          </w:p>
        </w:tc>
        <w:tc>
          <w:tcPr>
            <w:tcW w:type="dxa" w:w="1624"/>
          </w:tcPr>
          <w:p>
            <w:pPr>
              <w:spacing w:after="20"/>
            </w:pPr>
            <w:r>
              <w:rPr>
                <w:sz w:val="19"/>
              </w:rPr>
            </w:r>
            <w:r>
              <w:rPr>
                <w:sz w:val="19"/>
              </w:rPr>
              <w:t xml:space="preserve">Proceso actual (AS-IS en BPMN) y línea base </w:t>
            </w:r>
            <w:r>
              <w:rPr>
                <w:b/>
                <w:sz w:val="19"/>
              </w:rPr>
              <w:t>real</w:t>
            </w:r>
            <w:r>
              <w:rPr>
                <w:sz w:val="19"/>
              </w:rPr>
              <w:t xml:space="preserve"> (M1–M6)</w:t>
            </w:r>
          </w:p>
        </w:tc>
        <w:tc>
          <w:tcPr>
            <w:tcW w:type="dxa" w:w="1624"/>
          </w:tcPr>
          <w:p>
            <w:pPr>
              <w:spacing w:after="20"/>
            </w:pPr>
            <w:r>
              <w:rPr>
                <w:sz w:val="19"/>
              </w:rPr>
            </w:r>
            <w:r>
              <w:rPr>
                <w:sz w:val="19"/>
              </w:rPr>
              <w:t>1 (evidencia)</w:t>
            </w:r>
          </w:p>
        </w:tc>
        <w:tc>
          <w:tcPr>
            <w:tcW w:type="dxa" w:w="1624"/>
          </w:tcPr>
          <w:p>
            <w:pPr>
              <w:spacing w:after="20"/>
            </w:pPr>
            <w:r>
              <w:rPr>
                <w:sz w:val="19"/>
              </w:rPr>
            </w:r>
            <w:r>
              <w:rPr>
                <w:sz w:val="19"/>
              </w:rPr>
              <w:t>5.1</w:t>
            </w:r>
          </w:p>
        </w:tc>
        <w:tc>
          <w:tcPr>
            <w:tcW w:type="dxa" w:w="1624"/>
          </w:tcPr>
          <w:p>
            <w:pPr>
              <w:spacing w:after="20"/>
            </w:pPr>
            <w:r>
              <w:rPr>
                <w:sz w:val="19"/>
              </w:rPr>
            </w:r>
            <w:r>
              <w:rPr>
                <w:rFonts w:ascii="Consolas" w:hAnsi="Consolas" w:cs="Consolas" w:eastAsia="Consolas"/>
                <w:color w:val="0B1F3A"/>
                <w:sz w:val="19"/>
              </w:rPr>
              <w:t>05_Datos_Campo/</w:t>
            </w:r>
            <w:r>
              <w:rPr>
                <w:sz w:val="19"/>
              </w:rPr>
              <w:t xml:space="preserve"> (solo datos reales anonimizados)</w:t>
            </w:r>
          </w:p>
        </w:tc>
        <w:tc>
          <w:tcPr>
            <w:tcW w:type="dxa" w:w="1624"/>
          </w:tcPr>
          <w:p>
            <w:pPr>
              <w:spacing w:after="20"/>
            </w:pPr>
            <w:r>
              <w:rPr>
                <w:sz w:val="19"/>
              </w:rPr>
            </w:r>
            <w:r>
              <w:rPr>
                <w:sz w:val="19"/>
              </w:rPr>
              <w:t>S7</w:t>
            </w:r>
          </w:p>
        </w:tc>
      </w:tr>
      <w:tr>
        <w:tc>
          <w:tcPr>
            <w:tcW w:type="dxa" w:w="1624"/>
            <w:shd w:val="clear" w:color="auto" w:fill="EEF2F7"/>
          </w:tcPr>
          <w:p>
            <w:pPr>
              <w:spacing w:after="20"/>
            </w:pPr>
            <w:r>
              <w:rPr>
                <w:sz w:val="19"/>
              </w:rPr>
            </w:r>
            <w:r>
              <w:rPr>
                <w:b/>
                <w:sz w:val="19"/>
              </w:rPr>
              <w:t>Cap. V · Diseño del sistema y viabilidad</w:t>
            </w:r>
          </w:p>
        </w:tc>
        <w:tc>
          <w:tcPr>
            <w:tcW w:type="dxa" w:w="1624"/>
            <w:shd w:val="clear" w:color="auto" w:fill="EEF2F7"/>
          </w:tcPr>
          <w:p>
            <w:pPr>
              <w:spacing w:after="20"/>
            </w:pPr>
            <w:r>
              <w:rPr>
                <w:sz w:val="19"/>
              </w:rPr>
            </w:r>
            <w:r>
              <w:rPr>
                <w:sz w:val="19"/>
              </w:rPr>
              <w:t>Requisitos, proceso TO-BE, arquitectura, herramientas, costos, VAN y TIR, riesgos, ley de datos</w:t>
            </w:r>
          </w:p>
        </w:tc>
        <w:tc>
          <w:tcPr>
            <w:tcW w:type="dxa" w:w="1624"/>
            <w:shd w:val="clear" w:color="auto" w:fill="EEF2F7"/>
          </w:tcPr>
          <w:p>
            <w:pPr>
              <w:spacing w:after="20"/>
            </w:pPr>
            <w:r>
              <w:rPr>
                <w:sz w:val="19"/>
              </w:rPr>
            </w:r>
            <w:r>
              <w:rPr>
                <w:sz w:val="19"/>
              </w:rPr>
              <w:t>3 (artefacto)</w:t>
            </w:r>
          </w:p>
        </w:tc>
        <w:tc>
          <w:tcPr>
            <w:tcW w:type="dxa" w:w="1624"/>
            <w:shd w:val="clear" w:color="auto" w:fill="EEF2F7"/>
          </w:tcPr>
          <w:p>
            <w:pPr>
              <w:spacing w:after="20"/>
            </w:pPr>
            <w:r>
              <w:rPr>
                <w:sz w:val="19"/>
              </w:rPr>
            </w:r>
            <w:r>
              <w:rPr>
                <w:sz w:val="19"/>
              </w:rPr>
              <w:t>5.3, 5.4, 6.1</w:t>
            </w:r>
          </w:p>
        </w:tc>
        <w:tc>
          <w:tcPr>
            <w:tcW w:type="dxa" w:w="1624"/>
            <w:shd w:val="clear" w:color="auto" w:fill="EEF2F7"/>
          </w:tcPr>
          <w:p>
            <w:pPr>
              <w:spacing w:after="20"/>
            </w:pPr>
            <w:r>
              <w:rPr>
                <w:sz w:val="19"/>
              </w:rPr>
            </w:r>
            <w:r>
              <w:rPr>
                <w:rFonts w:ascii="Consolas" w:hAnsi="Consolas" w:cs="Consolas" w:eastAsia="Consolas"/>
                <w:color w:val="0B1F3A"/>
                <w:sz w:val="19"/>
              </w:rPr>
              <w:t>07_Flujos_Diseno/</w:t>
            </w:r>
            <w:r>
              <w:rPr>
                <w:sz w:val="19"/>
              </w:rPr>
              <w:t>, anexo A del borrador</w:t>
            </w:r>
          </w:p>
        </w:tc>
        <w:tc>
          <w:tcPr>
            <w:tcW w:type="dxa" w:w="1624"/>
            <w:shd w:val="clear" w:color="auto" w:fill="EEF2F7"/>
          </w:tcPr>
          <w:p>
            <w:pPr>
              <w:spacing w:after="20"/>
            </w:pPr>
            <w:r>
              <w:rPr>
                <w:sz w:val="19"/>
              </w:rPr>
            </w:r>
            <w:r>
              <w:rPr>
                <w:sz w:val="19"/>
              </w:rPr>
              <w:t>S4</w:t>
            </w:r>
          </w:p>
        </w:tc>
      </w:tr>
      <w:tr>
        <w:tc>
          <w:tcPr>
            <w:tcW w:type="dxa" w:w="1624"/>
          </w:tcPr>
          <w:p>
            <w:pPr>
              <w:spacing w:after="20"/>
            </w:pPr>
            <w:r>
              <w:rPr>
                <w:sz w:val="19"/>
              </w:rPr>
            </w:r>
            <w:r>
              <w:rPr>
                <w:b/>
                <w:sz w:val="19"/>
              </w:rPr>
              <w:t>Cap. VI · Resultados de la validación</w:t>
            </w:r>
          </w:p>
        </w:tc>
        <w:tc>
          <w:tcPr>
            <w:tcW w:type="dxa" w:w="1624"/>
          </w:tcPr>
          <w:p>
            <w:pPr>
              <w:spacing w:after="20"/>
            </w:pPr>
            <w:r>
              <w:rPr>
                <w:sz w:val="19"/>
              </w:rPr>
            </w:r>
            <w:r>
              <w:rPr>
                <w:sz w:val="19"/>
              </w:rPr>
              <w:t>Demostración y evaluación: antes y después en operación experimental controlada, SUS, discusión y limitaciones</w:t>
            </w:r>
          </w:p>
        </w:tc>
        <w:tc>
          <w:tcPr>
            <w:tcW w:type="dxa" w:w="1624"/>
          </w:tcPr>
          <w:p>
            <w:pPr>
              <w:spacing w:after="20"/>
            </w:pPr>
            <w:r>
              <w:rPr>
                <w:sz w:val="19"/>
              </w:rPr>
            </w:r>
            <w:r>
              <w:rPr>
                <w:sz w:val="19"/>
              </w:rPr>
              <w:t>4 y 5</w:t>
            </w:r>
          </w:p>
        </w:tc>
        <w:tc>
          <w:tcPr>
            <w:tcW w:type="dxa" w:w="1624"/>
          </w:tcPr>
          <w:p>
            <w:pPr>
              <w:spacing w:after="20"/>
            </w:pPr>
            <w:r>
              <w:rPr>
                <w:sz w:val="19"/>
              </w:rPr>
            </w:r>
            <w:r>
              <w:rPr>
                <w:sz w:val="19"/>
              </w:rPr>
              <w:t>6.2, 6.3</w:t>
            </w:r>
          </w:p>
        </w:tc>
        <w:tc>
          <w:tcPr>
            <w:tcW w:type="dxa" w:w="1624"/>
          </w:tcPr>
          <w:p>
            <w:pPr>
              <w:spacing w:after="20"/>
            </w:pPr>
            <w:r>
              <w:rPr>
                <w:sz w:val="19"/>
              </w:rPr>
            </w:r>
            <w:r>
              <w:rPr>
                <w:sz w:val="19"/>
              </w:rPr>
              <w:t>Datos de la validación</w:t>
            </w:r>
          </w:p>
        </w:tc>
        <w:tc>
          <w:tcPr>
            <w:tcW w:type="dxa" w:w="1624"/>
          </w:tcPr>
          <w:p>
            <w:pPr>
              <w:spacing w:after="20"/>
            </w:pPr>
            <w:r>
              <w:rPr>
                <w:sz w:val="19"/>
              </w:rPr>
            </w:r>
            <w:r>
              <w:rPr>
                <w:sz w:val="19"/>
              </w:rPr>
              <w:t>S9</w:t>
            </w:r>
          </w:p>
        </w:tc>
      </w:tr>
      <w:tr>
        <w:tc>
          <w:tcPr>
            <w:tcW w:type="dxa" w:w="1624"/>
            <w:shd w:val="clear" w:color="auto" w:fill="EEF2F7"/>
          </w:tcPr>
          <w:p>
            <w:pPr>
              <w:spacing w:after="20"/>
            </w:pPr>
            <w:r>
              <w:rPr>
                <w:sz w:val="19"/>
              </w:rPr>
            </w:r>
            <w:r>
              <w:rPr>
                <w:sz w:val="19"/>
              </w:rPr>
              <w:t>Conclusiones y recomendaciones</w:t>
            </w:r>
          </w:p>
        </w:tc>
        <w:tc>
          <w:tcPr>
            <w:tcW w:type="dxa" w:w="1624"/>
            <w:shd w:val="clear" w:color="auto" w:fill="EEF2F7"/>
          </w:tcPr>
          <w:p>
            <w:pPr>
              <w:spacing w:after="20"/>
            </w:pPr>
            <w:r>
              <w:rPr>
                <w:sz w:val="19"/>
              </w:rPr>
            </w:r>
            <w:r>
              <w:rPr>
                <w:sz w:val="19"/>
              </w:rPr>
              <w:t>Una conclusión por objetivo específico; recomendaciones para Torvesa y para futuras investigaciones</w:t>
            </w:r>
          </w:p>
        </w:tc>
        <w:tc>
          <w:tcPr>
            <w:tcW w:type="dxa" w:w="1624"/>
            <w:shd w:val="clear" w:color="auto" w:fill="EEF2F7"/>
          </w:tcPr>
          <w:p>
            <w:pPr>
              <w:spacing w:after="20"/>
            </w:pPr>
            <w:r>
              <w:rPr>
                <w:sz w:val="19"/>
              </w:rPr>
            </w:r>
            <w:r>
              <w:rPr>
                <w:sz w:val="19"/>
              </w:rPr>
              <w:t>6</w:t>
            </w:r>
          </w:p>
        </w:tc>
        <w:tc>
          <w:tcPr>
            <w:tcW w:type="dxa" w:w="1624"/>
            <w:shd w:val="clear" w:color="auto" w:fill="EEF2F7"/>
          </w:tcPr>
          <w:p>
            <w:pPr>
              <w:spacing w:after="20"/>
            </w:pPr>
            <w:r>
              <w:rPr>
                <w:sz w:val="19"/>
              </w:rPr>
            </w:r>
            <w:r>
              <w:rPr>
                <w:sz w:val="19"/>
              </w:rPr>
              <w:t>—</w:t>
            </w:r>
          </w:p>
        </w:tc>
        <w:tc>
          <w:tcPr>
            <w:tcW w:type="dxa" w:w="1624"/>
            <w:shd w:val="clear" w:color="auto" w:fill="EEF2F7"/>
          </w:tcPr>
          <w:p>
            <w:pPr>
              <w:spacing w:after="20"/>
            </w:pPr>
            <w:r>
              <w:rPr>
                <w:sz w:val="19"/>
              </w:rPr>
            </w:r>
            <w:r>
              <w:rPr>
                <w:sz w:val="19"/>
              </w:rPr>
              <w:t>—</w:t>
            </w:r>
          </w:p>
        </w:tc>
        <w:tc>
          <w:tcPr>
            <w:tcW w:type="dxa" w:w="1624"/>
            <w:shd w:val="clear" w:color="auto" w:fill="EEF2F7"/>
          </w:tcPr>
          <w:p>
            <w:pPr>
              <w:spacing w:after="20"/>
            </w:pPr>
            <w:r>
              <w:rPr>
                <w:sz w:val="19"/>
              </w:rPr>
            </w:r>
            <w:r>
              <w:rPr>
                <w:sz w:val="19"/>
              </w:rPr>
              <w:t>S9</w:t>
            </w:r>
          </w:p>
        </w:tc>
      </w:tr>
      <w:tr>
        <w:tc>
          <w:tcPr>
            <w:tcW w:type="dxa" w:w="1624"/>
          </w:tcPr>
          <w:p>
            <w:pPr>
              <w:spacing w:after="20"/>
            </w:pPr>
            <w:r>
              <w:rPr>
                <w:sz w:val="19"/>
              </w:rPr>
            </w:r>
            <w:r>
              <w:rPr>
                <w:sz w:val="19"/>
              </w:rPr>
              <w:t>Anexos</w:t>
            </w:r>
          </w:p>
        </w:tc>
        <w:tc>
          <w:tcPr>
            <w:tcW w:type="dxa" w:w="1624"/>
          </w:tcPr>
          <w:p>
            <w:pPr>
              <w:spacing w:after="20"/>
            </w:pPr>
            <w:r>
              <w:rPr>
                <w:sz w:val="19"/>
              </w:rPr>
            </w:r>
            <w:r>
              <w:rPr>
                <w:sz w:val="19"/>
              </w:rPr>
              <w:t>Instrumentos, consentimiento, diccionario de datos, BPMN, costos, declaración de IA</w:t>
            </w:r>
          </w:p>
        </w:tc>
        <w:tc>
          <w:tcPr>
            <w:tcW w:type="dxa" w:w="1624"/>
          </w:tcPr>
          <w:p>
            <w:pPr>
              <w:spacing w:after="20"/>
            </w:pPr>
            <w:r>
              <w:rPr>
                <w:sz w:val="19"/>
              </w:rPr>
            </w:r>
            <w:r>
              <w:rPr>
                <w:sz w:val="19"/>
              </w:rPr>
              <w:t>—</w:t>
            </w:r>
          </w:p>
        </w:tc>
        <w:tc>
          <w:tcPr>
            <w:tcW w:type="dxa" w:w="1624"/>
          </w:tcPr>
          <w:p>
            <w:pPr>
              <w:spacing w:after="20"/>
            </w:pPr>
            <w:r>
              <w:rPr>
                <w:sz w:val="19"/>
              </w:rPr>
            </w:r>
            <w:r>
              <w:rPr>
                <w:sz w:val="19"/>
              </w:rPr>
              <w:t>—</w:t>
            </w:r>
          </w:p>
        </w:tc>
        <w:tc>
          <w:tcPr>
            <w:tcW w:type="dxa" w:w="1624"/>
          </w:tcPr>
          <w:p>
            <w:pPr>
              <w:spacing w:after="20"/>
            </w:pPr>
            <w:r>
              <w:rPr>
                <w:sz w:val="19"/>
              </w:rPr>
            </w:r>
            <w:r>
              <w:rPr>
                <w:sz w:val="19"/>
              </w:rPr>
              <w:t>—</w:t>
            </w:r>
          </w:p>
        </w:tc>
        <w:tc>
          <w:tcPr>
            <w:tcW w:type="dxa" w:w="1624"/>
          </w:tcPr>
          <w:p>
            <w:pPr>
              <w:spacing w:after="20"/>
            </w:pPr>
            <w:r>
              <w:rPr>
                <w:sz w:val="19"/>
              </w:rPr>
            </w:r>
            <w:r>
              <w:rPr>
                <w:sz w:val="19"/>
              </w:rPr>
              <w:t>—</w:t>
            </w:r>
          </w:p>
        </w:tc>
      </w:tr>
    </w:tbl>
    <w:p/>
    <w:p>
      <w:r>
        <w:rPr>
          <w:b/>
        </w:rPr>
        <w:t>Regla de coherencia («hilo rojo»):</w:t>
      </w:r>
      <w:r>
        <w:rPr/>
        <w:t xml:space="preserve"> cada objetivo específico debe aparecer en cuatro sitios. Debe tener (a) su método en el Cap. III, (b) su resultado en el Cap. IV, V o VI y (c) su conclusión. Además, (d) la tabla de la §11.4 lo registra. Si algo no cierra, la IA lo avisa antes de redactar.</w:t>
      </w:r>
    </w:p>
    <w:p>
      <w:r>
        <w:rPr/>
        <w:t>---</w:t>
      </w:r>
    </w:p>
    <w:p>
      <w:pPr>
        <w:pStyle w:val="Heading1"/>
        <w:pBdr>
          <w:bottom w:val="single" w:sz="10" w:space="4" w:color="B87333"/>
        </w:pBdr>
      </w:pPr>
      <w:r>
        <w:t>3. Protocolo de la IA para redactar cualquier sección</w:t>
      </w:r>
    </w:p>
    <w:tbl>
      <w:tblPr>
        <w:tblW w:type="auto" w:w="0"/>
        <w:tblLook w:firstColumn="1" w:firstRow="1" w:lastColumn="0" w:lastRow="0" w:noHBand="0" w:noVBand="1" w:val="04A0"/>
      </w:tblPr>
      <w:tblGrid>
        <w:gridCol w:w="9746"/>
      </w:tblGrid>
      <w:tr>
        <w:tc>
          <w:tcPr>
            <w:tcW w:type="dxa" w:w="9746"/>
            <w:shd w:val="clear" w:color="auto" w:fill="F3F5F8"/>
          </w:tcPr>
          <w:p>
            <w:pPr>
              <w:spacing w:after="0"/>
            </w:pPr>
            <w:r/>
            <w:r>
              <w:rPr>
                <w:rFonts w:ascii="Consolas" w:hAnsi="Consolas" w:cs="Consolas" w:eastAsia="Consolas"/>
                <w:sz w:val="18"/>
              </w:rPr>
              <w:t>1. UBICAR    → ¿Qué sección es? ¿Qué objetivo, OVA y actividad DSR cubre? (tabla §2.2)</w:t>
            </w:r>
          </w:p>
          <w:p>
            <w:pPr>
              <w:spacing w:after="0"/>
            </w:pPr>
            <w:r>
              <w:rPr>
                <w:rFonts w:ascii="Consolas" w:hAnsi="Consolas" w:cs="Consolas" w:eastAsia="Consolas"/>
                <w:sz w:val="18"/>
              </w:rPr>
              <w:t>2. INVENTARIO → Listar lo que la sección necesita: afirmaciones, fuentes verificadas,</w:t>
            </w:r>
          </w:p>
          <w:p>
            <w:pPr>
              <w:spacing w:after="0"/>
            </w:pPr>
            <w:r>
              <w:rPr>
                <w:rFonts w:ascii="Consolas" w:hAnsi="Consolas" w:cs="Consolas" w:eastAsia="Consolas"/>
                <w:sz w:val="18"/>
              </w:rPr>
              <w:t xml:space="preserve">               datos reales, decisiones tomadas, figuras y tablas.</w:t>
            </w:r>
          </w:p>
          <w:p>
            <w:pPr>
              <w:spacing w:after="0"/>
            </w:pPr>
            <w:r>
              <w:rPr>
                <w:rFonts w:ascii="Consolas" w:hAnsi="Consolas" w:cs="Consolas" w:eastAsia="Consolas"/>
                <w:sz w:val="18"/>
              </w:rPr>
              <w:t>3. FALTANTES → Comparar con lo que existe en la bóveda. Lo que falta NO se inventa:</w:t>
            </w:r>
          </w:p>
          <w:p>
            <w:pPr>
              <w:spacing w:after="0"/>
            </w:pPr>
            <w:r>
              <w:rPr>
                <w:rFonts w:ascii="Consolas" w:hAnsi="Consolas" w:cs="Consolas" w:eastAsia="Consolas"/>
                <w:sz w:val="18"/>
              </w:rPr>
              <w:t xml:space="preserve">               se marca y se pregunta a Víctor (lista corta, priorizada).</w:t>
            </w:r>
          </w:p>
          <w:p>
            <w:pPr>
              <w:spacing w:after="0"/>
            </w:pPr>
            <w:r>
              <w:rPr>
                <w:rFonts w:ascii="Consolas" w:hAnsi="Consolas" w:cs="Consolas" w:eastAsia="Consolas"/>
                <w:sz w:val="18"/>
              </w:rPr>
              <w:t>4. BORRADOR  → Redactar en .md con los marcadores de §3.1. Una idea por párrafo;</w:t>
            </w:r>
          </w:p>
          <w:p>
            <w:pPr>
              <w:spacing w:after="0"/>
            </w:pPr>
            <w:r>
              <w:rPr>
                <w:rFonts w:ascii="Consolas" w:hAnsi="Consolas" w:cs="Consolas" w:eastAsia="Consolas"/>
                <w:sz w:val="18"/>
              </w:rPr>
              <w:t xml:space="preserve">               cada cifra con su cita verificada.</w:t>
            </w:r>
          </w:p>
          <w:p>
            <w:pPr>
              <w:spacing w:after="0"/>
            </w:pPr>
            <w:r>
              <w:rPr>
                <w:rFonts w:ascii="Consolas" w:hAnsi="Consolas" w:cs="Consolas" w:eastAsia="Consolas"/>
                <w:sz w:val="18"/>
              </w:rPr>
              <w:t>5. VERIFICAR → Lista de verificación §11 (citas↔referencias, cifras, vocabulario, formato).</w:t>
            </w:r>
          </w:p>
          <w:p>
            <w:pPr>
              <w:spacing w:after="0"/>
            </w:pPr>
            <w:r>
              <w:rPr>
                <w:rFonts w:ascii="Consolas" w:hAnsi="Consolas" w:cs="Consolas" w:eastAsia="Consolas"/>
                <w:sz w:val="18"/>
              </w:rPr>
              <w:t>6. ENTREGAR  → Generar el Word (vX.Y), anotar en la bitácora y en el registro de</w:t>
            </w:r>
          </w:p>
          <w:p>
            <w:pPr>
              <w:spacing w:after="0"/>
            </w:pPr>
            <w:r>
              <w:rPr>
                <w:rFonts w:ascii="Consolas" w:hAnsi="Consolas" w:cs="Consolas" w:eastAsia="Consolas"/>
                <w:sz w:val="18"/>
              </w:rPr>
              <w:t xml:space="preserve">               contribuciones (lo que hizo la IA), y esperar la edición de Víctor.</w:t>
            </w:r>
          </w:p>
          <w:p>
            <w:pPr>
              <w:spacing w:after="0"/>
            </w:pPr>
            <w:r>
              <w:rPr>
                <w:rFonts w:ascii="Consolas" w:hAnsi="Consolas" w:cs="Consolas" w:eastAsia="Consolas"/>
                <w:sz w:val="18"/>
              </w:rPr>
              <w:t xml:space="preserve">               Nunca sobrescribir una versión que Víctor editó.</w:t>
            </w:r>
          </w:p>
        </w:tc>
      </w:tr>
    </w:tbl>
    <w:p/>
    <w:p>
      <w:pPr>
        <w:pStyle w:val="Heading2"/>
      </w:pPr>
      <w:r>
        <w:t>3.1 Marcadores estándar (se usan en los borradores y nunca llegan a la versión final)</w:t>
      </w:r>
    </w:p>
    <w:tbl>
      <w:tblPr>
        <w:tblStyle w:val="TableGrid"/>
        <w:tblW w:type="auto" w:w="0"/>
        <w:jc w:val="center"/>
        <w:tblLook w:firstColumn="1" w:firstRow="1" w:lastColumn="0" w:lastRow="0" w:noHBand="0" w:noVBand="1" w:val="04A0"/>
        <w:tblBorders>
          <w:top w:val="single" w:sz="4" w:color="B87333"/>
          <w:left w:val="single" w:sz="4" w:color="B87333"/>
          <w:bottom w:val="single" w:sz="4" w:color="B87333"/>
          <w:right w:val="single" w:sz="4" w:color="B87333"/>
          <w:insideH w:val="single" w:sz="4" w:color="C9A27E"/>
          <w:insideV w:val="single" w:sz="4" w:color="C9A27E"/>
        </w:tblBorders>
      </w:tblPr>
      <w:tblGrid>
        <w:gridCol w:w="3249"/>
        <w:gridCol w:w="3249"/>
        <w:gridCol w:w="3249"/>
      </w:tblGrid>
      <w:tr>
        <w:tc>
          <w:tcPr>
            <w:tcW w:type="dxa" w:w="3249"/>
            <w:shd w:val="clear" w:color="auto" w:fill="0B1F3A"/>
          </w:tcPr>
          <w:p>
            <w:pPr>
              <w:spacing w:after="20"/>
            </w:pPr>
            <w:r/>
            <w:r>
              <w:rPr>
                <w:rFonts w:ascii="Poppins" w:hAnsi="Poppins" w:cs="Poppins" w:eastAsia="Poppins"/>
                <w:b/>
                <w:color w:val="FFFFFF"/>
                <w:sz w:val="19"/>
              </w:rPr>
              <w:t>Marcador</w:t>
            </w:r>
          </w:p>
        </w:tc>
        <w:tc>
          <w:tcPr>
            <w:tcW w:type="dxa" w:w="3249"/>
            <w:shd w:val="clear" w:color="auto" w:fill="0B1F3A"/>
          </w:tcPr>
          <w:p>
            <w:pPr>
              <w:spacing w:after="20"/>
            </w:pPr>
            <w:r/>
            <w:r>
              <w:rPr>
                <w:rFonts w:ascii="Poppins" w:hAnsi="Poppins" w:cs="Poppins" w:eastAsia="Poppins"/>
                <w:b/>
                <w:color w:val="FFFFFF"/>
                <w:sz w:val="19"/>
              </w:rPr>
              <w:t>Significa</w:t>
            </w:r>
          </w:p>
        </w:tc>
        <w:tc>
          <w:tcPr>
            <w:tcW w:type="dxa" w:w="3249"/>
            <w:shd w:val="clear" w:color="auto" w:fill="0B1F3A"/>
          </w:tcPr>
          <w:p>
            <w:pPr>
              <w:spacing w:after="20"/>
            </w:pPr>
            <w:r/>
            <w:r>
              <w:rPr>
                <w:rFonts w:ascii="Poppins" w:hAnsi="Poppins" w:cs="Poppins" w:eastAsia="Poppins"/>
                <w:b/>
                <w:color w:val="FFFFFF"/>
                <w:sz w:val="19"/>
              </w:rPr>
              <w:t>Quién lo resuelve</w:t>
            </w:r>
          </w:p>
        </w:tc>
      </w:tr>
      <w:tr>
        <w:tc>
          <w:tcPr>
            <w:tcW w:type="dxa" w:w="3249"/>
          </w:tcPr>
          <w:p>
            <w:pPr>
              <w:spacing w:after="20"/>
            </w:pPr>
            <w:r>
              <w:rPr>
                <w:sz w:val="19"/>
              </w:rPr>
            </w:r>
            <w:r>
              <w:rPr>
                <w:rFonts w:ascii="Consolas" w:hAnsi="Consolas" w:cs="Consolas" w:eastAsia="Consolas"/>
                <w:color w:val="0B1F3A"/>
                <w:sz w:val="19"/>
              </w:rPr>
              <w:t>[FALTA-FUENTE: A9 — qué se necesita]</w:t>
            </w:r>
          </w:p>
        </w:tc>
        <w:tc>
          <w:tcPr>
            <w:tcW w:type="dxa" w:w="3249"/>
          </w:tcPr>
          <w:p>
            <w:pPr>
              <w:spacing w:after="20"/>
            </w:pPr>
            <w:r>
              <w:rPr>
                <w:sz w:val="19"/>
              </w:rPr>
            </w:r>
            <w:r>
              <w:rPr>
                <w:sz w:val="19"/>
              </w:rPr>
              <w:t>La afirmación no tiene fuente verificada</w:t>
            </w:r>
          </w:p>
        </w:tc>
        <w:tc>
          <w:tcPr>
            <w:tcW w:type="dxa" w:w="3249"/>
          </w:tcPr>
          <w:p>
            <w:pPr>
              <w:spacing w:after="20"/>
            </w:pPr>
            <w:r>
              <w:rPr>
                <w:sz w:val="19"/>
              </w:rPr>
            </w:r>
            <w:r>
              <w:rPr>
                <w:sz w:val="19"/>
              </w:rPr>
              <w:t>Claude busca; Víctor baja el PDF si hace falta</w:t>
            </w:r>
          </w:p>
        </w:tc>
      </w:tr>
      <w:tr>
        <w:tc>
          <w:tcPr>
            <w:tcW w:type="dxa" w:w="3249"/>
            <w:shd w:val="clear" w:color="auto" w:fill="EEF2F7"/>
          </w:tcPr>
          <w:p>
            <w:pPr>
              <w:spacing w:after="20"/>
            </w:pPr>
            <w:r>
              <w:rPr>
                <w:sz w:val="19"/>
              </w:rPr>
            </w:r>
            <w:r>
              <w:rPr>
                <w:rFonts w:ascii="Consolas" w:hAnsi="Consolas" w:cs="Consolas" w:eastAsia="Consolas"/>
                <w:color w:val="0B1F3A"/>
                <w:sz w:val="19"/>
              </w:rPr>
              <w:t>[FALTA-DATO: M1 línea base]</w:t>
            </w:r>
          </w:p>
        </w:tc>
        <w:tc>
          <w:tcPr>
            <w:tcW w:type="dxa" w:w="3249"/>
            <w:shd w:val="clear" w:color="auto" w:fill="EEF2F7"/>
          </w:tcPr>
          <w:p>
            <w:pPr>
              <w:spacing w:after="20"/>
            </w:pPr>
            <w:r>
              <w:rPr>
                <w:sz w:val="19"/>
              </w:rPr>
            </w:r>
            <w:r>
              <w:rPr>
                <w:sz w:val="19"/>
              </w:rPr>
              <w:t>El dato depende del campo</w:t>
            </w:r>
          </w:p>
        </w:tc>
        <w:tc>
          <w:tcPr>
            <w:tcW w:type="dxa" w:w="3249"/>
            <w:shd w:val="clear" w:color="auto" w:fill="EEF2F7"/>
          </w:tcPr>
          <w:p>
            <w:pPr>
              <w:spacing w:after="20"/>
            </w:pPr>
            <w:r>
              <w:rPr>
                <w:sz w:val="19"/>
              </w:rPr>
            </w:r>
            <w:r>
              <w:rPr>
                <w:sz w:val="19"/>
              </w:rPr>
              <w:t>Campo (Víctor y Diego)</w:t>
            </w:r>
          </w:p>
        </w:tc>
      </w:tr>
      <w:tr>
        <w:tc>
          <w:tcPr>
            <w:tcW w:type="dxa" w:w="3249"/>
          </w:tcPr>
          <w:p>
            <w:pPr>
              <w:spacing w:after="20"/>
            </w:pPr>
            <w:r>
              <w:rPr>
                <w:sz w:val="19"/>
              </w:rPr>
            </w:r>
            <w:r>
              <w:rPr>
                <w:rFonts w:ascii="Consolas" w:hAnsi="Consolas" w:cs="Consolas" w:eastAsia="Consolas"/>
                <w:color w:val="0B1F3A"/>
                <w:sz w:val="19"/>
              </w:rPr>
              <w:t>[DECIDIR-TUTORA: …]</w:t>
            </w:r>
          </w:p>
        </w:tc>
        <w:tc>
          <w:tcPr>
            <w:tcW w:type="dxa" w:w="3249"/>
          </w:tcPr>
          <w:p>
            <w:pPr>
              <w:spacing w:after="20"/>
            </w:pPr>
            <w:r>
              <w:rPr>
                <w:sz w:val="19"/>
              </w:rPr>
            </w:r>
            <w:r>
              <w:rPr>
                <w:sz w:val="19"/>
              </w:rPr>
              <w:t>Es una regla que define la tutora</w:t>
            </w:r>
          </w:p>
        </w:tc>
        <w:tc>
          <w:tcPr>
            <w:tcW w:type="dxa" w:w="3249"/>
          </w:tcPr>
          <w:p>
            <w:pPr>
              <w:spacing w:after="20"/>
            </w:pPr>
            <w:r>
              <w:rPr>
                <w:sz w:val="19"/>
              </w:rPr>
            </w:r>
            <w:r>
              <w:rPr>
                <w:sz w:val="19"/>
              </w:rPr>
              <w:t>Víctor en la reunión</w:t>
            </w:r>
          </w:p>
        </w:tc>
      </w:tr>
      <w:tr>
        <w:tc>
          <w:tcPr>
            <w:tcW w:type="dxa" w:w="3249"/>
            <w:shd w:val="clear" w:color="auto" w:fill="EEF2F7"/>
          </w:tcPr>
          <w:p>
            <w:pPr>
              <w:spacing w:after="20"/>
            </w:pPr>
            <w:r>
              <w:rPr>
                <w:sz w:val="19"/>
              </w:rPr>
            </w:r>
            <w:r>
              <w:rPr>
                <w:rFonts w:ascii="Consolas" w:hAnsi="Consolas" w:cs="Consolas" w:eastAsia="Consolas"/>
                <w:color w:val="0B1F3A"/>
                <w:sz w:val="19"/>
              </w:rPr>
              <w:t>[DECIDIR-VÍCTOR: …]</w:t>
            </w:r>
          </w:p>
        </w:tc>
        <w:tc>
          <w:tcPr>
            <w:tcW w:type="dxa" w:w="3249"/>
            <w:shd w:val="clear" w:color="auto" w:fill="EEF2F7"/>
          </w:tcPr>
          <w:p>
            <w:pPr>
              <w:spacing w:after="20"/>
            </w:pPr>
            <w:r>
              <w:rPr>
                <w:sz w:val="19"/>
              </w:rPr>
            </w:r>
            <w:r>
              <w:rPr>
                <w:sz w:val="19"/>
              </w:rPr>
              <w:t>Es una decisión de contenido o de redacción</w:t>
            </w:r>
          </w:p>
        </w:tc>
        <w:tc>
          <w:tcPr>
            <w:tcW w:type="dxa" w:w="3249"/>
            <w:shd w:val="clear" w:color="auto" w:fill="EEF2F7"/>
          </w:tcPr>
          <w:p>
            <w:pPr>
              <w:spacing w:after="20"/>
            </w:pPr>
            <w:r>
              <w:rPr>
                <w:sz w:val="19"/>
              </w:rPr>
            </w:r>
            <w:r>
              <w:rPr>
                <w:sz w:val="19"/>
              </w:rPr>
              <w:t>Víctor</w:t>
            </w:r>
          </w:p>
        </w:tc>
      </w:tr>
      <w:tr>
        <w:tc>
          <w:tcPr>
            <w:tcW w:type="dxa" w:w="3249"/>
          </w:tcPr>
          <w:p>
            <w:pPr>
              <w:spacing w:after="20"/>
            </w:pPr>
            <w:r>
              <w:rPr>
                <w:sz w:val="19"/>
              </w:rPr>
            </w:r>
            <w:r>
              <w:rPr>
                <w:rFonts w:ascii="Consolas" w:hAnsi="Consolas" w:cs="Consolas" w:eastAsia="Consolas"/>
                <w:color w:val="0B1F3A"/>
                <w:sz w:val="19"/>
              </w:rPr>
              <w:t>[VERIFICAR-PÁG: autor año]</w:t>
            </w:r>
          </w:p>
        </w:tc>
        <w:tc>
          <w:tcPr>
            <w:tcW w:type="dxa" w:w="3249"/>
          </w:tcPr>
          <w:p>
            <w:pPr>
              <w:spacing w:after="20"/>
            </w:pPr>
            <w:r>
              <w:rPr>
                <w:sz w:val="19"/>
              </w:rPr>
            </w:r>
            <w:r>
              <w:rPr>
                <w:sz w:val="19"/>
              </w:rPr>
              <w:t>La cita existe, pero falta la página</w:t>
            </w:r>
          </w:p>
        </w:tc>
        <w:tc>
          <w:tcPr>
            <w:tcW w:type="dxa" w:w="3249"/>
          </w:tcPr>
          <w:p>
            <w:pPr>
              <w:spacing w:after="20"/>
            </w:pPr>
            <w:r>
              <w:rPr>
                <w:sz w:val="19"/>
              </w:rPr>
            </w:r>
            <w:r>
              <w:rPr>
                <w:sz w:val="19"/>
              </w:rPr>
              <w:t>Claude</w:t>
            </w:r>
          </w:p>
        </w:tc>
      </w:tr>
    </w:tbl>
    <w:p/>
    <w:p>
      <w:r>
        <w:rPr/>
        <w:t xml:space="preserve">La IA </w:t>
      </w:r>
      <w:r>
        <w:rPr>
          <w:b/>
        </w:rPr>
        <w:t>cuenta los marcadores</w:t>
      </w:r>
      <w:r>
        <w:rPr/>
        <w:t xml:space="preserve"> de cada versión y los reporta: «Cap. I v0.2: 3 FALTA-FUENTE, 1 FALTA-DATO».</w:t>
      </w:r>
    </w:p>
    <w:p>
      <w:pPr>
        <w:pStyle w:val="Heading2"/>
      </w:pPr>
      <w:r>
        <w:t>3.2 Lo que la IA nunca hace</w:t>
      </w:r>
    </w:p>
    <w:p>
      <w:pPr>
        <w:pStyle w:val="ListBullet"/>
      </w:pPr>
      <w:r>
        <w:rPr/>
        <w:t>Inventar autores, años, páginas, DOI, cifras o citas textuales.</w:t>
      </w:r>
    </w:p>
    <w:p>
      <w:pPr>
        <w:pStyle w:val="ListBullet"/>
      </w:pPr>
      <w:r>
        <w:rPr/>
        <w:t xml:space="preserve">Citar una fuente con </w:t>
      </w:r>
      <w:r>
        <w:rPr>
          <w:rFonts w:ascii="Consolas" w:hAnsi="Consolas" w:cs="Consolas" w:eastAsia="Consolas"/>
          <w:color w:val="0B1F3A"/>
          <w:sz w:val="19"/>
        </w:rPr>
        <w:t>estado: candidata</w:t>
      </w:r>
      <w:r>
        <w:rPr/>
        <w:t xml:space="preserve"> o </w:t>
      </w:r>
      <w:r>
        <w:rPr>
          <w:rFonts w:ascii="Consolas" w:hAnsi="Consolas" w:cs="Consolas" w:eastAsia="Consolas"/>
          <w:color w:val="0B1F3A"/>
          <w:sz w:val="19"/>
        </w:rPr>
        <w:t>acceso: solo_resumen</w:t>
      </w:r>
      <w:r>
        <w:rPr/>
        <w:t>.</w:t>
      </w:r>
    </w:p>
    <w:p>
      <w:pPr>
        <w:pStyle w:val="ListBullet"/>
      </w:pPr>
      <w:r>
        <w:rPr/>
        <w:t>Usar datos simulados o del diagnóstico de N = 30.</w:t>
      </w:r>
    </w:p>
    <w:p>
      <w:pPr>
        <w:pStyle w:val="ListBullet"/>
      </w:pPr>
      <w:r>
        <w:rPr/>
        <w:t>Copiar el resumen de una fuente como si fuera paráfrasis.</w:t>
      </w:r>
    </w:p>
    <w:p>
      <w:pPr>
        <w:pStyle w:val="ListBullet"/>
      </w:pPr>
      <w:r>
        <w:rPr/>
        <w:t>Presentar como dos pruebas distintas dos fuentes que usan la misma encuesta (por ejemplo, McKinsey y Stanford 2025).</w:t>
      </w:r>
    </w:p>
    <w:p>
      <w:pPr>
        <w:pStyle w:val="ListBullet"/>
      </w:pPr>
      <w:r>
        <w:rPr/>
        <w:t>Escribir «piloto» o «implementado».</w:t>
      </w:r>
    </w:p>
    <w:p>
      <w:r>
        <w:rPr/>
        <w:t>---</w:t>
      </w:r>
    </w:p>
    <w:p>
      <w:pPr>
        <w:pStyle w:val="Heading1"/>
        <w:pBdr>
          <w:bottom w:val="single" w:sz="10" w:space="4" w:color="B87333"/>
        </w:pBdr>
      </w:pPr>
      <w:r>
        <w:t>4. Redacción (APA 7, caps. 4–6, adaptado al español)</w:t>
      </w:r>
    </w:p>
    <w:p>
      <w:pPr>
        <w:pStyle w:val="ListBullet"/>
      </w:pPr>
      <w:r>
        <w:rPr>
          <w:b/>
        </w:rPr>
        <w:t>Claridad y concisión:</w:t>
      </w:r>
      <w:r>
        <w:rPr/>
        <w:t xml:space="preserve"> frases variadas, sin relleno. No usar párrafos de una sola oración ni párrafos de más de una página. No usar coloquialismos ni jerga sin definir.</w:t>
      </w:r>
    </w:p>
    <w:p>
      <w:pPr>
        <w:pStyle w:val="ListBullet"/>
      </w:pPr>
      <w:r>
        <w:rPr>
          <w:b/>
        </w:rPr>
        <w:t>Persona gramatical:</w:t>
      </w:r>
      <w:r>
        <w:rPr/>
        <w:t xml:space="preserve"> APA permite la primera persona («realizamos»); la tesis UPS de 2026 usa la forma impersonal («se desarrolla»). </w:t>
      </w:r>
      <w:r>
        <w:rPr>
          <w:b/>
        </w:rPr>
        <w:t>Por defecto, la forma impersonal</w:t>
      </w:r>
      <w:r>
        <w:rPr/>
        <w:t>, hasta que la tutora decida (§12).</w:t>
      </w:r>
    </w:p>
    <w:p>
      <w:pPr>
        <w:pStyle w:val="ListBullet"/>
      </w:pPr>
      <w:r>
        <w:rPr>
          <w:b/>
        </w:rPr>
        <w:t>Tiempos verbales:</w:t>
      </w:r>
      <w:r>
        <w:rPr/>
        <w:t xml:space="preserve"> pasado para lo que se hizo (método y resultados); presente para lo que dicen los autores y para las conclusiones vigentes.</w:t>
      </w:r>
    </w:p>
    <w:p>
      <w:pPr>
        <w:pStyle w:val="ListBullet"/>
      </w:pPr>
      <w:r>
        <w:rPr>
          <w:b/>
        </w:rPr>
        <w:t>Voz activa</w:t>
      </w:r>
      <w:r>
        <w:rPr/>
        <w:t xml:space="preserve"> siempre que se pueda.</w:t>
      </w:r>
    </w:p>
    <w:p>
      <w:pPr>
        <w:pStyle w:val="ListBullet"/>
      </w:pPr>
      <w:r>
        <w:rPr>
          <w:b/>
        </w:rPr>
        <w:t>Siglas:</w:t>
      </w:r>
      <w:r>
        <w:rPr/>
        <w:t xml:space="preserve"> definirlas la primera vez («Design Science Research [DSR]»), solo si se usan tres veces o más. No definir las de uso común.</w:t>
      </w:r>
    </w:p>
    <w:p>
      <w:pPr>
        <w:pStyle w:val="ListBullet"/>
      </w:pPr>
      <w:r>
        <w:rPr>
          <w:b/>
        </w:rPr>
        <w:t>Números:</w:t>
      </w:r>
    </w:p>
    <w:p>
      <w:pPr>
        <w:pStyle w:val="ListBullet"/>
        <w:ind w:left="714"/>
      </w:pPr>
      <w:r>
        <w:rPr/>
        <w:t>En letras del cero al nueve; en cifras del 10 en adelante.</w:t>
      </w:r>
    </w:p>
    <w:p>
      <w:pPr>
        <w:pStyle w:val="ListBullet"/>
        <w:ind w:left="714"/>
      </w:pPr>
      <w:r>
        <w:rPr>
          <w:b/>
        </w:rPr>
        <w:t>Siempre en cifras:</w:t>
      </w:r>
      <w:r>
        <w:rPr/>
        <w:t xml:space="preserve"> porcentajes, decimales, dinero, fechas, tiempos, puntajes, estadísticos y unidades.</w:t>
      </w:r>
    </w:p>
    <w:p>
      <w:pPr>
        <w:pStyle w:val="ListBullet"/>
        <w:ind w:left="714"/>
      </w:pPr>
      <w:r>
        <w:rPr/>
        <w:t xml:space="preserve">Decimal con </w:t>
      </w:r>
      <w:r>
        <w:rPr>
          <w:b/>
        </w:rPr>
        <w:t>coma</w:t>
      </w:r>
      <w:r>
        <w:rPr/>
        <w:t xml:space="preserve"> y porcentaje con espacio («7,9 %»), como el BCE; mantenerlo igual en todo el documento.</w:t>
      </w:r>
    </w:p>
    <w:p>
      <w:pPr>
        <w:pStyle w:val="ListBullet"/>
      </w:pPr>
      <w:r>
        <w:rPr>
          <w:b/>
        </w:rPr>
        <w:t>Lenguaje sin sesgos:</w:t>
      </w:r>
      <w:r>
        <w:rPr/>
        <w:t xml:space="preserve"> personas, no etiquetas («colaboradores», «clientes»). Los participantes se identifican con códigos («C07», «Cl12»), nunca con su nombre (LOPDP).</w:t>
      </w:r>
    </w:p>
    <w:p>
      <w:pPr>
        <w:pStyle w:val="ListBullet"/>
      </w:pPr>
      <w:r>
        <w:rPr>
          <w:b/>
        </w:rPr>
        <w:t>Términos clave:</w:t>
      </w:r>
      <w:r>
        <w:rPr/>
        <w:t xml:space="preserve"> cursiva solo la primera vez que se definen. Los extranjerismos sin traducir van en cursiva (</w:t>
      </w:r>
      <w:r>
        <w:rPr>
          <w:i/>
        </w:rPr>
        <w:t>lead</w:t>
      </w:r>
      <w:r>
        <w:rPr/>
        <w:t xml:space="preserve">, </w:t>
      </w:r>
      <w:r>
        <w:rPr>
          <w:i/>
        </w:rPr>
        <w:t>pipeline</w:t>
      </w:r>
      <w:r>
        <w:rPr/>
        <w:t xml:space="preserve">); se prefiere el término en español del </w:t>
      </w:r>
      <w:r>
        <w:rPr>
          <w:rFonts w:ascii="Consolas" w:hAnsi="Consolas" w:cs="Consolas" w:eastAsia="Consolas"/>
          <w:color w:val="0B1F3A"/>
          <w:sz w:val="19"/>
        </w:rPr>
        <w:t>Glosario.md</w:t>
      </w:r>
      <w:r>
        <w:rPr/>
        <w:t>.</w:t>
      </w:r>
    </w:p>
    <w:p>
      <w:r>
        <w:rPr/>
        <w:t>---</w:t>
      </w:r>
    </w:p>
    <w:p>
      <w:pPr>
        <w:pStyle w:val="Heading1"/>
        <w:pBdr>
          <w:bottom w:val="single" w:sz="10" w:space="4" w:color="B87333"/>
        </w:pBdr>
      </w:pPr>
      <w:r>
        <w:t>5. Citas en el texto (APA 7, cap. 8)</w:t>
      </w:r>
    </w:p>
    <w:tbl>
      <w:tblPr>
        <w:tblStyle w:val="TableGrid"/>
        <w:tblW w:type="auto" w:w="0"/>
        <w:jc w:val="center"/>
        <w:tblLook w:firstColumn="1" w:firstRow="1" w:lastColumn="0" w:lastRow="0" w:noHBand="0" w:noVBand="1" w:val="04A0"/>
        <w:tblBorders>
          <w:top w:val="single" w:sz="4" w:color="B87333"/>
          <w:left w:val="single" w:sz="4" w:color="B87333"/>
          <w:bottom w:val="single" w:sz="4" w:color="B87333"/>
          <w:right w:val="single" w:sz="4" w:color="B87333"/>
          <w:insideH w:val="single" w:sz="4" w:color="C9A27E"/>
          <w:insideV w:val="single" w:sz="4" w:color="C9A27E"/>
        </w:tblBorders>
      </w:tblPr>
      <w:tblGrid>
        <w:gridCol w:w="3249"/>
        <w:gridCol w:w="3249"/>
        <w:gridCol w:w="3249"/>
      </w:tblGrid>
      <w:tr>
        <w:tc>
          <w:tcPr>
            <w:tcW w:type="dxa" w:w="3249"/>
            <w:shd w:val="clear" w:color="auto" w:fill="0B1F3A"/>
          </w:tcPr>
          <w:p>
            <w:pPr>
              <w:spacing w:after="20"/>
            </w:pPr>
            <w:r/>
            <w:r>
              <w:rPr>
                <w:rFonts w:ascii="Poppins" w:hAnsi="Poppins" w:cs="Poppins" w:eastAsia="Poppins"/>
                <w:b/>
                <w:color w:val="FFFFFF"/>
                <w:sz w:val="19"/>
              </w:rPr>
              <w:t>Caso</w:t>
            </w:r>
          </w:p>
        </w:tc>
        <w:tc>
          <w:tcPr>
            <w:tcW w:type="dxa" w:w="3249"/>
            <w:shd w:val="clear" w:color="auto" w:fill="0B1F3A"/>
          </w:tcPr>
          <w:p>
            <w:pPr>
              <w:spacing w:after="20"/>
            </w:pPr>
            <w:r/>
            <w:r>
              <w:rPr>
                <w:rFonts w:ascii="Poppins" w:hAnsi="Poppins" w:cs="Poppins" w:eastAsia="Poppins"/>
                <w:b/>
                <w:color w:val="FFFFFF"/>
                <w:sz w:val="19"/>
              </w:rPr>
              <w:t>Parentética</w:t>
            </w:r>
          </w:p>
        </w:tc>
        <w:tc>
          <w:tcPr>
            <w:tcW w:type="dxa" w:w="3249"/>
            <w:shd w:val="clear" w:color="auto" w:fill="0B1F3A"/>
          </w:tcPr>
          <w:p>
            <w:pPr>
              <w:spacing w:after="20"/>
            </w:pPr>
            <w:r/>
            <w:r>
              <w:rPr>
                <w:rFonts w:ascii="Poppins" w:hAnsi="Poppins" w:cs="Poppins" w:eastAsia="Poppins"/>
                <w:b/>
                <w:color w:val="FFFFFF"/>
                <w:sz w:val="19"/>
              </w:rPr>
              <w:t>Narrativa</w:t>
            </w:r>
          </w:p>
        </w:tc>
      </w:tr>
      <w:tr>
        <w:tc>
          <w:tcPr>
            <w:tcW w:type="dxa" w:w="3249"/>
          </w:tcPr>
          <w:p>
            <w:pPr>
              <w:spacing w:after="20"/>
            </w:pPr>
            <w:r>
              <w:rPr>
                <w:sz w:val="19"/>
              </w:rPr>
            </w:r>
            <w:r>
              <w:rPr>
                <w:sz w:val="19"/>
              </w:rPr>
              <w:t>1 autor</w:t>
            </w:r>
          </w:p>
        </w:tc>
        <w:tc>
          <w:tcPr>
            <w:tcW w:type="dxa" w:w="3249"/>
          </w:tcPr>
          <w:p>
            <w:pPr>
              <w:spacing w:after="20"/>
            </w:pPr>
            <w:r>
              <w:rPr>
                <w:sz w:val="19"/>
              </w:rPr>
            </w:r>
            <w:r>
              <w:rPr>
                <w:sz w:val="19"/>
              </w:rPr>
              <w:t>(Samuelson, 2023)</w:t>
            </w:r>
          </w:p>
        </w:tc>
        <w:tc>
          <w:tcPr>
            <w:tcW w:type="dxa" w:w="3249"/>
          </w:tcPr>
          <w:p>
            <w:pPr>
              <w:spacing w:after="20"/>
            </w:pPr>
            <w:r>
              <w:rPr>
                <w:sz w:val="19"/>
              </w:rPr>
            </w:r>
            <w:r>
              <w:rPr>
                <w:sz w:val="19"/>
              </w:rPr>
              <w:t>Samuelson (2023)</w:t>
            </w:r>
          </w:p>
        </w:tc>
      </w:tr>
      <w:tr>
        <w:tc>
          <w:tcPr>
            <w:tcW w:type="dxa" w:w="3249"/>
            <w:shd w:val="clear" w:color="auto" w:fill="EEF2F7"/>
          </w:tcPr>
          <w:p>
            <w:pPr>
              <w:spacing w:after="20"/>
            </w:pPr>
            <w:r>
              <w:rPr>
                <w:sz w:val="19"/>
              </w:rPr>
            </w:r>
            <w:r>
              <w:rPr>
                <w:sz w:val="19"/>
              </w:rPr>
              <w:t>2 autores</w:t>
            </w:r>
          </w:p>
        </w:tc>
        <w:tc>
          <w:tcPr>
            <w:tcW w:type="dxa" w:w="3249"/>
            <w:shd w:val="clear" w:color="auto" w:fill="EEF2F7"/>
          </w:tcPr>
          <w:p>
            <w:pPr>
              <w:spacing w:after="20"/>
            </w:pPr>
            <w:r>
              <w:rPr>
                <w:sz w:val="19"/>
              </w:rPr>
            </w:r>
            <w:r>
              <w:rPr>
                <w:sz w:val="19"/>
              </w:rPr>
              <w:t>(Samuelson y Stehn, 2023)</w:t>
            </w:r>
          </w:p>
        </w:tc>
        <w:tc>
          <w:tcPr>
            <w:tcW w:type="dxa" w:w="3249"/>
            <w:shd w:val="clear" w:color="auto" w:fill="EEF2F7"/>
          </w:tcPr>
          <w:p>
            <w:pPr>
              <w:spacing w:after="20"/>
            </w:pPr>
            <w:r>
              <w:rPr>
                <w:sz w:val="19"/>
              </w:rPr>
            </w:r>
            <w:r>
              <w:rPr>
                <w:sz w:val="19"/>
              </w:rPr>
              <w:t>Samuelson y Stehn (2023)</w:t>
            </w:r>
          </w:p>
        </w:tc>
      </w:tr>
      <w:tr>
        <w:tc>
          <w:tcPr>
            <w:tcW w:type="dxa" w:w="3249"/>
          </w:tcPr>
          <w:p>
            <w:pPr>
              <w:spacing w:after="20"/>
            </w:pPr>
            <w:r>
              <w:rPr>
                <w:sz w:val="19"/>
              </w:rPr>
            </w:r>
            <w:r>
              <w:rPr>
                <w:sz w:val="19"/>
              </w:rPr>
              <w:t>3 o más</w:t>
            </w:r>
          </w:p>
        </w:tc>
        <w:tc>
          <w:tcPr>
            <w:tcW w:type="dxa" w:w="3249"/>
          </w:tcPr>
          <w:p>
            <w:pPr>
              <w:spacing w:after="20"/>
            </w:pPr>
            <w:r>
              <w:rPr>
                <w:sz w:val="19"/>
              </w:rPr>
            </w:r>
            <w:r>
              <w:rPr>
                <w:sz w:val="19"/>
              </w:rPr>
              <w:t>(Cathles et al., 2023)</w:t>
            </w:r>
          </w:p>
        </w:tc>
        <w:tc>
          <w:tcPr>
            <w:tcW w:type="dxa" w:w="3249"/>
          </w:tcPr>
          <w:p>
            <w:pPr>
              <w:spacing w:after="20"/>
            </w:pPr>
            <w:r>
              <w:rPr>
                <w:sz w:val="19"/>
              </w:rPr>
            </w:r>
            <w:r>
              <w:rPr>
                <w:sz w:val="19"/>
              </w:rPr>
              <w:t>Cathles et al. (2023)</w:t>
            </w:r>
          </w:p>
        </w:tc>
      </w:tr>
      <w:tr>
        <w:tc>
          <w:tcPr>
            <w:tcW w:type="dxa" w:w="3249"/>
            <w:shd w:val="clear" w:color="auto" w:fill="EEF2F7"/>
          </w:tcPr>
          <w:p>
            <w:pPr>
              <w:spacing w:after="20"/>
            </w:pPr>
            <w:r>
              <w:rPr>
                <w:sz w:val="19"/>
              </w:rPr>
            </w:r>
            <w:r>
              <w:rPr>
                <w:sz w:val="19"/>
              </w:rPr>
              <w:t>Autor institucional</w:t>
            </w:r>
          </w:p>
        </w:tc>
        <w:tc>
          <w:tcPr>
            <w:tcW w:type="dxa" w:w="3249"/>
            <w:shd w:val="clear" w:color="auto" w:fill="EEF2F7"/>
          </w:tcPr>
          <w:p>
            <w:pPr>
              <w:spacing w:after="20"/>
            </w:pPr>
            <w:r>
              <w:rPr>
                <w:sz w:val="19"/>
              </w:rPr>
            </w:r>
            <w:r>
              <w:rPr>
                <w:sz w:val="19"/>
              </w:rPr>
              <w:t>(Banco Central del Ecuador [BCE], 2026) y luego (BCE, 2026)</w:t>
            </w:r>
          </w:p>
        </w:tc>
        <w:tc>
          <w:tcPr>
            <w:tcW w:type="dxa" w:w="3249"/>
            <w:shd w:val="clear" w:color="auto" w:fill="EEF2F7"/>
          </w:tcPr>
          <w:p>
            <w:pPr>
              <w:spacing w:after="20"/>
            </w:pPr>
            <w:r>
              <w:rPr>
                <w:sz w:val="19"/>
              </w:rPr>
            </w:r>
            <w:r>
              <w:rPr>
                <w:sz w:val="19"/>
              </w:rPr>
              <w:t>Banco Central del Ecuador (BCE, 2026)</w:t>
            </w:r>
          </w:p>
        </w:tc>
      </w:tr>
      <w:tr>
        <w:tc>
          <w:tcPr>
            <w:tcW w:type="dxa" w:w="3249"/>
          </w:tcPr>
          <w:p>
            <w:pPr>
              <w:spacing w:after="20"/>
            </w:pPr>
            <w:r>
              <w:rPr>
                <w:sz w:val="19"/>
              </w:rPr>
            </w:r>
            <w:r>
              <w:rPr>
                <w:sz w:val="19"/>
              </w:rPr>
              <w:t>Sin fecha</w:t>
            </w:r>
          </w:p>
        </w:tc>
        <w:tc>
          <w:tcPr>
            <w:tcW w:type="dxa" w:w="3249"/>
          </w:tcPr>
          <w:p>
            <w:pPr>
              <w:spacing w:after="20"/>
            </w:pPr>
            <w:r>
              <w:rPr>
                <w:sz w:val="19"/>
              </w:rPr>
            </w:r>
            <w:r>
              <w:rPr>
                <w:sz w:val="19"/>
              </w:rPr>
              <w:t>(Autor, s. f.)</w:t>
            </w:r>
          </w:p>
        </w:tc>
        <w:tc>
          <w:tcPr>
            <w:tcW w:type="dxa" w:w="3249"/>
          </w:tcPr>
          <w:p>
            <w:pPr>
              <w:spacing w:after="20"/>
            </w:pPr>
            <w:r>
              <w:rPr>
                <w:sz w:val="19"/>
              </w:rPr>
            </w:r>
            <w:r>
              <w:rPr>
                <w:sz w:val="19"/>
              </w:rPr>
              <w:t>Autor (s. f.)</w:t>
            </w:r>
          </w:p>
        </w:tc>
      </w:tr>
      <w:tr>
        <w:tc>
          <w:tcPr>
            <w:tcW w:type="dxa" w:w="3249"/>
            <w:shd w:val="clear" w:color="auto" w:fill="EEF2F7"/>
          </w:tcPr>
          <w:p>
            <w:pPr>
              <w:spacing w:after="20"/>
            </w:pPr>
            <w:r>
              <w:rPr>
                <w:sz w:val="19"/>
              </w:rPr>
            </w:r>
            <w:r>
              <w:rPr>
                <w:sz w:val="19"/>
              </w:rPr>
              <w:t>Varias obras</w:t>
            </w:r>
          </w:p>
        </w:tc>
        <w:tc>
          <w:tcPr>
            <w:tcW w:type="dxa" w:w="3249"/>
            <w:shd w:val="clear" w:color="auto" w:fill="EEF2F7"/>
          </w:tcPr>
          <w:p>
            <w:pPr>
              <w:spacing w:after="20"/>
            </w:pPr>
            <w:r>
              <w:rPr>
                <w:sz w:val="19"/>
              </w:rPr>
            </w:r>
            <w:r>
              <w:rPr>
                <w:sz w:val="19"/>
              </w:rPr>
              <w:t>(Cathles et al., 2023; Samuelson y Stehn, 2023): orden alfabético con punto y coma</w:t>
            </w:r>
          </w:p>
        </w:tc>
        <w:tc>
          <w:tcPr>
            <w:tcW w:type="dxa" w:w="3249"/>
            <w:shd w:val="clear" w:color="auto" w:fill="EEF2F7"/>
          </w:tcPr>
          <w:p>
            <w:pPr>
              <w:spacing w:after="20"/>
            </w:pPr>
            <w:r>
              <w:rPr>
                <w:sz w:val="19"/>
              </w:rPr>
            </w:r>
            <w:r>
              <w:rPr>
                <w:sz w:val="19"/>
              </w:rPr>
              <w:t>—</w:t>
            </w:r>
          </w:p>
        </w:tc>
      </w:tr>
      <w:tr>
        <w:tc>
          <w:tcPr>
            <w:tcW w:type="dxa" w:w="3249"/>
          </w:tcPr>
          <w:p>
            <w:pPr>
              <w:spacing w:after="20"/>
            </w:pPr>
            <w:r>
              <w:rPr>
                <w:sz w:val="19"/>
              </w:rPr>
            </w:r>
            <w:r>
              <w:rPr>
                <w:sz w:val="19"/>
              </w:rPr>
              <w:t>Ley</w:t>
            </w:r>
          </w:p>
        </w:tc>
        <w:tc>
          <w:tcPr>
            <w:tcW w:type="dxa" w:w="3249"/>
          </w:tcPr>
          <w:p>
            <w:pPr>
              <w:spacing w:after="20"/>
            </w:pPr>
            <w:r>
              <w:rPr>
                <w:sz w:val="19"/>
              </w:rPr>
            </w:r>
            <w:r>
              <w:rPr>
                <w:sz w:val="19"/>
              </w:rPr>
              <w:t>(Ley Orgánica de Protección de Datos Personales [LOPDP], 2021, art. 8)</w:t>
            </w:r>
          </w:p>
        </w:tc>
        <w:tc>
          <w:tcPr>
            <w:tcW w:type="dxa" w:w="3249"/>
          </w:tcPr>
          <w:p>
            <w:pPr>
              <w:spacing w:after="20"/>
            </w:pPr>
            <w:r>
              <w:rPr>
                <w:sz w:val="19"/>
              </w:rPr>
            </w:r>
            <w:r>
              <w:rPr>
                <w:sz w:val="19"/>
              </w:rPr>
              <w:t>La LOPDP (2021, art. 8)</w:t>
            </w:r>
          </w:p>
        </w:tc>
      </w:tr>
    </w:tbl>
    <w:p/>
    <w:p>
      <w:pPr>
        <w:pStyle w:val="ListBullet"/>
      </w:pPr>
      <w:r>
        <w:rPr>
          <w:b/>
        </w:rPr>
        <w:t>«y» o «&amp;»:</w:t>
      </w:r>
      <w:r>
        <w:rPr/>
        <w:t xml:space="preserve"> APA en inglés usa «&amp;» en las citas parentéticas. Las guías en español usan «y». </w:t>
      </w:r>
      <w:r>
        <w:rPr>
          <w:b/>
        </w:rPr>
        <w:t>Por defecto, «y»</w:t>
      </w:r>
      <w:r>
        <w:rPr/>
        <w:t xml:space="preserve"> en el texto y en las referencias; confirmar con la tutora (§12).</w:t>
      </w:r>
    </w:p>
    <w:p>
      <w:pPr>
        <w:pStyle w:val="ListBullet"/>
      </w:pPr>
      <w:r>
        <w:rPr>
          <w:b/>
        </w:rPr>
        <w:t>Cita textual de menos de 40 palabras:</w:t>
      </w:r>
      <w:r>
        <w:rPr/>
        <w:t xml:space="preserve"> entre comillas, con la página: (Salesforce Research, 2024, p. 13). Si no hay páginas, se usa el párrafo o la sección: (McKinsey &amp; Company, 2026, sección «Key takeaways»).</w:t>
      </w:r>
    </w:p>
    <w:p>
      <w:pPr>
        <w:pStyle w:val="ListBullet"/>
      </w:pPr>
      <w:r>
        <w:rPr>
          <w:b/>
        </w:rPr>
        <w:t>Cita textual de 40 palabras o más:</w:t>
      </w:r>
      <w:r>
        <w:rPr/>
        <w:t xml:space="preserve"> en bloque con sangría de 1,27 cm, sin comillas.</w:t>
      </w:r>
    </w:p>
    <w:p>
      <w:pPr>
        <w:pStyle w:val="ListBullet"/>
      </w:pPr>
      <w:r>
        <w:rPr>
          <w:b/>
        </w:rPr>
        <w:t>Paráfrasis</w:t>
      </w:r>
      <w:r>
        <w:rPr/>
        <w:t xml:space="preserve"> (lo preferido): la página es opcional, pero </w:t>
      </w:r>
      <w:r>
        <w:rPr>
          <w:b/>
        </w:rPr>
        <w:t>en esta tesis siempre se pone</w:t>
      </w:r>
      <w:r>
        <w:rPr/>
        <w:t xml:space="preserve"> cuando el dato es una cifra. Así se puede verificar.</w:t>
      </w:r>
    </w:p>
    <w:p>
      <w:pPr>
        <w:pStyle w:val="ListBullet"/>
      </w:pPr>
      <w:r>
        <w:rPr>
          <w:b/>
        </w:rPr>
        <w:t>Fuente secundaria:</w:t>
      </w:r>
      <w:r>
        <w:rPr/>
        <w:t xml:space="preserve"> solo si no hay acceso al original. Formato: (Oldroyd et al., 2011, como se citó en Koushik, 2024). Solo la fuente leída va a las referencias.</w:t>
      </w:r>
    </w:p>
    <w:p>
      <w:pPr>
        <w:pStyle w:val="ListBullet"/>
      </w:pPr>
      <w:r>
        <w:rPr>
          <w:b/>
        </w:rPr>
        <w:t>No citar en cada oración</w:t>
      </w:r>
      <w:r>
        <w:rPr/>
        <w:t xml:space="preserve"> cuando el tema y la fuente siguen siendo los mismos; basta con citar una vez por párrafo.</w:t>
      </w:r>
    </w:p>
    <w:p>
      <w:pPr>
        <w:pStyle w:val="ListBullet"/>
      </w:pPr>
      <w:r>
        <w:rPr>
          <w:b/>
        </w:rPr>
        <w:t>Participantes propios</w:t>
      </w:r>
      <w:r>
        <w:rPr/>
        <w:t xml:space="preserve"> (entrevistas y encuestas en Torvesa): </w:t>
      </w:r>
      <w:r>
        <w:rPr>
          <w:b/>
        </w:rPr>
        <w:t>no son comunicaciones personales</w:t>
      </w:r>
      <w:r>
        <w:rPr/>
        <w:t xml:space="preserve">. Se citan sus palabras con un código anónimo («Asesor A3, entrevista, octubre de 2026») y </w:t>
      </w:r>
      <w:r>
        <w:rPr>
          <w:b/>
        </w:rPr>
        <w:t>no van en las referencias</w:t>
      </w:r>
      <w:r>
        <w:rPr/>
        <w:t>.</w:t>
      </w:r>
    </w:p>
    <w:p>
      <w:pPr>
        <w:pStyle w:val="ListBullet"/>
      </w:pPr>
      <w:r>
        <w:rPr>
          <w:b/>
        </w:rPr>
        <w:t>Comunicación personal</w:t>
      </w:r>
      <w:r>
        <w:rPr/>
        <w:t xml:space="preserve"> (por ejemplo, un correo de la gerencia de Torvesa): (A. Pérez, comunicación personal, 15 de octubre de 2026). Solo va en el texto, nunca en las referencias.</w:t>
      </w:r>
    </w:p>
    <w:p>
      <w:r>
        <w:rPr/>
        <w:t>---</w:t>
      </w:r>
    </w:p>
    <w:p>
      <w:pPr>
        <w:pStyle w:val="Heading1"/>
        <w:pBdr>
          <w:bottom w:val="single" w:sz="10" w:space="4" w:color="B87333"/>
        </w:pBdr>
      </w:pPr>
      <w:r>
        <w:t>6. Lista de referencias (APA 7, caps. 9–10)</w:t>
      </w:r>
    </w:p>
    <w:p>
      <w:pPr>
        <w:pStyle w:val="Heading2"/>
      </w:pPr>
      <w:r>
        <w:t>6.1 Reglas generales</w:t>
      </w:r>
    </w:p>
    <w:p>
      <w:pPr>
        <w:pStyle w:val="ListBullet"/>
      </w:pPr>
      <w:r>
        <w:rPr/>
        <w:t>Título «Referencias», centrado y en negrita, en una página nueva.</w:t>
      </w:r>
    </w:p>
    <w:p>
      <w:pPr>
        <w:pStyle w:val="ListBullet"/>
      </w:pPr>
      <w:r>
        <w:rPr/>
        <w:t>Sangría francesa de 1,27 cm, orden alfabético por el primer apellido y mismo interlineado que el cuerpo.</w:t>
      </w:r>
    </w:p>
    <w:p>
      <w:pPr>
        <w:pStyle w:val="ListBullet"/>
      </w:pPr>
      <w:r>
        <w:rPr/>
        <w:t xml:space="preserve">Cuatro elementos: </w:t>
      </w:r>
      <w:r>
        <w:rPr>
          <w:b/>
        </w:rPr>
        <w:t>Autor. (Fecha). Título. Fuente.</w:t>
      </w:r>
    </w:p>
    <w:p>
      <w:pPr>
        <w:pStyle w:val="ListBullet"/>
      </w:pPr>
      <w:r>
        <w:rPr>
          <w:b/>
        </w:rPr>
        <w:t>Autores:</w:t>
      </w:r>
      <w:r>
        <w:rPr/>
        <w:t xml:space="preserve"> «Apellido, I. I.», separados por comas, con «y» antes del último (o «&amp;», según la decisión de §12). Hasta 20 autores; si hay más, los 19 primeros, «…» y el último.</w:t>
      </w:r>
    </w:p>
    <w:p>
      <w:pPr>
        <w:pStyle w:val="ListBullet"/>
      </w:pPr>
      <w:r>
        <w:rPr>
          <w:b/>
        </w:rPr>
        <w:t>Títulos en tipo oración:</w:t>
      </w:r>
      <w:r>
        <w:rPr/>
        <w:t xml:space="preserve"> solo la primera palabra y los nombres propios con mayúscula.</w:t>
      </w:r>
    </w:p>
    <w:p>
      <w:pPr>
        <w:pStyle w:val="ListBullet"/>
        <w:ind w:left="714"/>
      </w:pPr>
      <w:r>
        <w:rPr/>
        <w:t xml:space="preserve">Van en </w:t>
      </w:r>
      <w:r>
        <w:rPr>
          <w:i/>
        </w:rPr>
        <w:t>cursiva</w:t>
      </w:r>
      <w:r>
        <w:rPr/>
        <w:t xml:space="preserve"> las obras independientes: libros, informes, tesis, páginas web, videos y conjuntos de datos.</w:t>
      </w:r>
    </w:p>
    <w:p>
      <w:pPr>
        <w:pStyle w:val="ListBullet"/>
        <w:ind w:left="714"/>
      </w:pPr>
      <w:r>
        <w:rPr/>
        <w:t xml:space="preserve">Los artículos y capítulos van </w:t>
      </w:r>
      <w:r>
        <w:rPr>
          <w:b/>
        </w:rPr>
        <w:t>sin cursiva</w:t>
      </w:r>
      <w:r>
        <w:rPr/>
        <w:t>; en ellos va en cursiva la revista o el libro, y el volumen.</w:t>
      </w:r>
    </w:p>
    <w:p>
      <w:pPr>
        <w:pStyle w:val="ListBullet"/>
      </w:pPr>
      <w:r>
        <w:rPr>
          <w:b/>
        </w:rPr>
        <w:t>DOI como enlace</w:t>
      </w:r>
      <w:r>
        <w:rPr/>
        <w:t xml:space="preserve"> (https://doi.org/...). Si no hay DOI, poner la URL.</w:t>
      </w:r>
    </w:p>
    <w:p>
      <w:pPr>
        <w:pStyle w:val="ListBullet"/>
        <w:ind w:left="714"/>
      </w:pPr>
      <w:r>
        <w:rPr>
          <w:b/>
        </w:rPr>
        <w:t>Nunca</w:t>
      </w:r>
      <w:r>
        <w:rPr/>
        <w:t xml:space="preserve"> escribir «Recuperado de», «Obtenido de» ni «Disponible en», ni poner punto después de la URL.</w:t>
      </w:r>
    </w:p>
    <w:p>
      <w:pPr>
        <w:pStyle w:val="ListBullet"/>
        <w:ind w:left="714"/>
      </w:pPr>
      <w:r>
        <w:rPr/>
        <w:t>«Recuperado el [fecha] de» solo se usa en páginas que cambian y no tienen archivo.</w:t>
      </w:r>
    </w:p>
    <w:p>
      <w:pPr>
        <w:pStyle w:val="ListBullet"/>
      </w:pPr>
      <w:r>
        <w:rPr>
          <w:b/>
        </w:rPr>
        <w:t>Equivalencias en español:</w:t>
      </w:r>
      <w:r>
        <w:rPr/>
        <w:t xml:space="preserve"> s. f. (sin fecha), et al., Ed./Eds., p./pp., párr., n.º, [Video], [Comunicado de prensa], [Conjunto de datos], [Modelo de lenguaje grande], [Tesis de licenciatura, Universidad X].</w:t>
      </w:r>
    </w:p>
    <w:p>
      <w:pPr>
        <w:pStyle w:val="ListBullet"/>
      </w:pPr>
      <w:r>
        <w:rPr>
          <w:b/>
        </w:rPr>
        <w:t>Cada cita tiene su referencia y cada referencia su cita.</w:t>
      </w:r>
      <w:r>
        <w:rPr/>
        <w:t xml:space="preserve"> Sin excepción.</w:t>
      </w:r>
    </w:p>
    <w:p>
      <w:pPr>
        <w:pStyle w:val="Heading2"/>
      </w:pPr>
      <w:r>
        <w:t>6.2 Plantillas con ejemplos de nuestra base</w:t>
      </w:r>
    </w:p>
    <w:p>
      <w:r>
        <w:rPr/>
        <w:t>Los ejemplos son las referencias reales de las fichas verificadas.</w:t>
      </w:r>
    </w:p>
    <w:p>
      <w:r>
        <w:rPr>
          <w:b/>
        </w:rPr>
        <w:t>Artículo de revista con DOI</w:t>
      </w:r>
    </w:p>
    <w:p>
      <w:r>
        <w:rPr>
          <w:rFonts w:ascii="Consolas" w:hAnsi="Consolas" w:cs="Consolas" w:eastAsia="Consolas"/>
          <w:color w:val="0B1F3A"/>
          <w:sz w:val="19"/>
        </w:rPr>
        <w:t>Apellido, I., &amp; Apellido, I. (Año). Título del artículo. *Revista, vol*(núm.), pág–pág. https://doi.org/...</w:t>
      </w:r>
    </w:p>
    <w:tbl>
      <w:tblPr>
        <w:tblW w:type="auto" w:w="0"/>
        <w:tblLook w:firstColumn="1" w:firstRow="1" w:lastColumn="0" w:lastRow="0" w:noHBand="0" w:noVBand="1" w:val="04A0"/>
      </w:tblPr>
      <w:tblGrid>
        <w:gridCol w:w="9746"/>
      </w:tblGrid>
      <w:tr>
        <w:tc>
          <w:tcPr>
            <w:tcW w:type="dxa" w:w="9746"/>
            <w:shd w:val="clear" w:color="auto" w:fill="EEF2F7"/>
          </w:tcPr>
          <w:p>
            <w:r>
              <w:rPr/>
              <w:t xml:space="preserve">Samuelson, O., y Stehn, L. (2023). Digital transformation in construction – a review. </w:t>
            </w:r>
            <w:r>
              <w:rPr>
                <w:i/>
              </w:rPr>
              <w:t>Journal of Information Technology in Construction, 28</w:t>
            </w:r>
            <w:r>
              <w:rPr/>
              <w:t>, 385–404. https://doi.org/10.36680/j.itcon.2023.020</w:t>
            </w:r>
          </w:p>
        </w:tc>
      </w:tr>
    </w:tbl>
    <w:p/>
    <w:p>
      <w:r>
        <w:rPr>
          <w:b/>
        </w:rPr>
        <w:t>Artículo con número de artículo (MDPI, sin páginas)</w:t>
      </w:r>
    </w:p>
    <w:tbl>
      <w:tblPr>
        <w:tblW w:type="auto" w:w="0"/>
        <w:tblLook w:firstColumn="1" w:firstRow="1" w:lastColumn="0" w:lastRow="0" w:noHBand="0" w:noVBand="1" w:val="04A0"/>
      </w:tblPr>
      <w:tblGrid>
        <w:gridCol w:w="9746"/>
      </w:tblGrid>
      <w:tr>
        <w:tc>
          <w:tcPr>
            <w:tcW w:type="dxa" w:w="9746"/>
            <w:shd w:val="clear" w:color="auto" w:fill="EEF2F7"/>
          </w:tcPr>
          <w:p>
            <w:r>
              <w:rPr/>
              <w:t xml:space="preserve">Pérez-Campdesuñer, R., Sánchez-Rodríguez, A., García-Vidal, G., Martínez-Vivar, R., y De Miguel-Guzmán, M. (2025). Artificial intelligence in Ecuadorian SMEs: Drivers and obstacles to adoption. </w:t>
            </w:r>
            <w:r>
              <w:rPr>
                <w:i/>
              </w:rPr>
              <w:t>Information, 16</w:t>
            </w:r>
            <w:r>
              <w:rPr/>
              <w:t>(6), Artículo 443. https://doi.org/10.3390/info16060443</w:t>
            </w:r>
          </w:p>
        </w:tc>
      </w:tr>
    </w:tbl>
    <w:p/>
    <w:p>
      <w:r>
        <w:rPr>
          <w:b/>
        </w:rPr>
        <w:t>Informe de un organismo</w:t>
      </w:r>
      <w:r>
        <w:rPr/>
        <w:t xml:space="preserve"> (si el autor es también el editor, no se repite)</w:t>
      </w:r>
    </w:p>
    <w:tbl>
      <w:tblPr>
        <w:tblW w:type="auto" w:w="0"/>
        <w:tblLook w:firstColumn="1" w:firstRow="1" w:lastColumn="0" w:lastRow="0" w:noHBand="0" w:noVBand="1" w:val="04A0"/>
      </w:tblPr>
      <w:tblGrid>
        <w:gridCol w:w="9746"/>
      </w:tblGrid>
      <w:tr>
        <w:tc>
          <w:tcPr>
            <w:tcW w:type="dxa" w:w="9746"/>
            <w:shd w:val="clear" w:color="auto" w:fill="EEF2F7"/>
          </w:tcPr>
          <w:p>
            <w:r>
              <w:rPr/>
              <w:t xml:space="preserve">Banco Central del Ecuador. (2026). </w:t>
            </w:r>
            <w:r>
              <w:rPr>
                <w:i/>
              </w:rPr>
              <w:t>Informe de evolución de la economía ecuatoriana en 2025 y perspectivas 2026</w:t>
            </w:r>
            <w:r>
              <w:rPr/>
              <w:t>. https://contenido.bce.fin.ec/documentos/Administracion/EvolEconEcu_2025pers2026.pdf</w:t>
            </w:r>
          </w:p>
        </w:tc>
      </w:tr>
    </w:tbl>
    <w:p/>
    <w:tbl>
      <w:tblPr>
        <w:tblW w:type="auto" w:w="0"/>
        <w:tblLook w:firstColumn="1" w:firstRow="1" w:lastColumn="0" w:lastRow="0" w:noHBand="0" w:noVBand="1" w:val="04A0"/>
      </w:tblPr>
      <w:tblGrid>
        <w:gridCol w:w="9746"/>
      </w:tblGrid>
      <w:tr>
        <w:tc>
          <w:tcPr>
            <w:tcW w:type="dxa" w:w="9746"/>
            <w:shd w:val="clear" w:color="auto" w:fill="EEF2F7"/>
          </w:tcPr>
          <w:p>
            <w:r>
              <w:rPr/>
              <w:t xml:space="preserve">OECD. (2025). </w:t>
            </w:r>
            <w:r>
              <w:rPr>
                <w:i/>
              </w:rPr>
              <w:t>AI adoption by small and medium-sized enterprises</w:t>
            </w:r>
            <w:r>
              <w:rPr/>
              <w:t>. OECD Publishing. [añadir URL]</w:t>
            </w:r>
          </w:p>
        </w:tc>
      </w:tr>
    </w:tbl>
    <w:p/>
    <w:p>
      <w:r>
        <w:rPr>
          <w:b/>
        </w:rPr>
        <w:t>Informe con autores individuales</w:t>
      </w:r>
    </w:p>
    <w:tbl>
      <w:tblPr>
        <w:tblW w:type="auto" w:w="0"/>
        <w:tblLook w:firstColumn="1" w:firstRow="1" w:lastColumn="0" w:lastRow="0" w:noHBand="0" w:noVBand="1" w:val="04A0"/>
      </w:tblPr>
      <w:tblGrid>
        <w:gridCol w:w="9746"/>
      </w:tblGrid>
      <w:tr>
        <w:tc>
          <w:tcPr>
            <w:tcW w:type="dxa" w:w="9746"/>
            <w:shd w:val="clear" w:color="auto" w:fill="EEF2F7"/>
          </w:tcPr>
          <w:p>
            <w:r>
              <w:rPr/>
              <w:t xml:space="preserve">Cathles, A., Henríquez, P., y Suaznábar, C. (2023). </w:t>
            </w:r>
            <w:r>
              <w:rPr>
                <w:i/>
              </w:rPr>
              <w:t>Impulsando la transformación digital de la construcción: el caso del BIM en Chile</w:t>
            </w:r>
            <w:r>
              <w:rPr/>
              <w:t>. Banco Interamericano de Desarrollo. https://doi.org/10.18235/0004973</w:t>
            </w:r>
          </w:p>
        </w:tc>
      </w:tr>
    </w:tbl>
    <w:p/>
    <w:p>
      <w:r>
        <w:rPr>
          <w:b/>
        </w:rPr>
        <w:t>Comunicado de prensa</w:t>
      </w:r>
    </w:p>
    <w:tbl>
      <w:tblPr>
        <w:tblW w:type="auto" w:w="0"/>
        <w:tblLook w:firstColumn="1" w:firstRow="1" w:lastColumn="0" w:lastRow="0" w:noHBand="0" w:noVBand="1" w:val="04A0"/>
      </w:tblPr>
      <w:tblGrid>
        <w:gridCol w:w="9746"/>
      </w:tblGrid>
      <w:tr>
        <w:tc>
          <w:tcPr>
            <w:tcW w:type="dxa" w:w="9746"/>
            <w:shd w:val="clear" w:color="auto" w:fill="EEF2F7"/>
          </w:tcPr>
          <w:p>
            <w:r>
              <w:rPr/>
              <w:t xml:space="preserve">Gartner. (2026, 9 de marzo). </w:t>
            </w:r>
            <w:r>
              <w:rPr>
                <w:i/>
              </w:rPr>
              <w:t>Gartner sales survey finds 67% of B2B buyers prefer a rep-free experience</w:t>
            </w:r>
            <w:r>
              <w:rPr/>
              <w:t xml:space="preserve"> [Comunicado de prensa]. https://www.gartner.com/en/newsroom/press-releases/2026-03-09-...</w:t>
            </w:r>
          </w:p>
        </w:tc>
      </w:tr>
    </w:tbl>
    <w:p/>
    <w:p>
      <w:r>
        <w:rPr>
          <w:b/>
        </w:rPr>
        <w:t>Noticia en un sitio de noticias solo digital</w:t>
      </w:r>
      <w:r>
        <w:rPr/>
        <w:t xml:space="preserve"> (Primicias: título en cursiva y el medio en redonda)</w:t>
      </w:r>
    </w:p>
    <w:tbl>
      <w:tblPr>
        <w:tblW w:type="auto" w:w="0"/>
        <w:tblLook w:firstColumn="1" w:firstRow="1" w:lastColumn="0" w:lastRow="0" w:noHBand="0" w:noVBand="1" w:val="04A0"/>
      </w:tblPr>
      <w:tblGrid>
        <w:gridCol w:w="9746"/>
      </w:tblGrid>
      <w:tr>
        <w:tc>
          <w:tcPr>
            <w:tcW w:type="dxa" w:w="9746"/>
            <w:shd w:val="clear" w:color="auto" w:fill="EEF2F7"/>
          </w:tcPr>
          <w:p>
            <w:r>
              <w:rPr/>
              <w:t xml:space="preserve">Revelo, R. (2026, 16 de septiembre). </w:t>
            </w:r>
            <w:r>
              <w:rPr>
                <w:i/>
              </w:rPr>
              <w:t>El peligro de la «Shadow AI»: el 33 % de empleados en Ecuador usa IA personal en el trabajo</w:t>
            </w:r>
            <w:r>
              <w:rPr/>
              <w:t>. Primicias. https://www.primicias.ec/...</w:t>
            </w:r>
          </w:p>
        </w:tc>
      </w:tr>
    </w:tbl>
    <w:p/>
    <w:p>
      <w:r>
        <w:rPr/>
        <w:t xml:space="preserve">Si el medio es un </w:t>
      </w:r>
      <w:r>
        <w:rPr>
          <w:b/>
        </w:rPr>
        <w:t>periódico</w:t>
      </w:r>
      <w:r>
        <w:rPr/>
        <w:t xml:space="preserve"> con edición impresa (</w:t>
      </w:r>
      <w:r>
        <w:rPr>
          <w:i/>
        </w:rPr>
        <w:t>El Universo</w:t>
      </w:r>
      <w:r>
        <w:rPr/>
        <w:t xml:space="preserve">, </w:t>
      </w:r>
      <w:r>
        <w:rPr>
          <w:i/>
        </w:rPr>
        <w:t>El Comercio</w:t>
      </w:r>
      <w:r>
        <w:rPr/>
        <w:t xml:space="preserve">), el título va en redonda y el periódico en </w:t>
      </w:r>
      <w:r>
        <w:rPr>
          <w:i/>
        </w:rPr>
        <w:t>cursiva</w:t>
      </w:r>
      <w:r>
        <w:rPr/>
        <w:t>.</w:t>
      </w:r>
    </w:p>
    <w:p>
      <w:r>
        <w:rPr>
          <w:b/>
        </w:rPr>
        <w:t>Página web con autor institucional</w:t>
      </w:r>
    </w:p>
    <w:tbl>
      <w:tblPr>
        <w:tblW w:type="auto" w:w="0"/>
        <w:tblLook w:firstColumn="1" w:firstRow="1" w:lastColumn="0" w:lastRow="0" w:noHBand="0" w:noVBand="1" w:val="04A0"/>
      </w:tblPr>
      <w:tblGrid>
        <w:gridCol w:w="9746"/>
      </w:tblGrid>
      <w:tr>
        <w:tc>
          <w:tcPr>
            <w:tcW w:type="dxa" w:w="9746"/>
            <w:shd w:val="clear" w:color="auto" w:fill="EEF2F7"/>
          </w:tcPr>
          <w:p>
            <w:r>
              <w:rPr/>
              <w:t xml:space="preserve">McKinsey &amp; Company. (2026, 25 de agosto). </w:t>
            </w:r>
            <w:r>
              <w:rPr>
                <w:i/>
              </w:rPr>
              <w:t>The state of AI: Global survey 2026</w:t>
            </w:r>
            <w:r>
              <w:rPr/>
              <w:t>. https://www.mckinsey.com/capabilities/operations/our-insights/the-state-of-ai</w:t>
            </w:r>
          </w:p>
        </w:tc>
      </w:tr>
    </w:tbl>
    <w:p/>
    <w:p>
      <w:r>
        <w:rPr>
          <w:b/>
        </w:rPr>
        <w:t>Video de YouTube</w:t>
      </w:r>
      <w:r>
        <w:rPr/>
        <w:t xml:space="preserve"> (el autor es el canal que lo subió y la fecha es la de publicación)</w:t>
      </w:r>
    </w:p>
    <w:tbl>
      <w:tblPr>
        <w:tblW w:type="auto" w:w="0"/>
        <w:tblLook w:firstColumn="1" w:firstRow="1" w:lastColumn="0" w:lastRow="0" w:noHBand="0" w:noVBand="1" w:val="04A0"/>
      </w:tblPr>
      <w:tblGrid>
        <w:gridCol w:w="9746"/>
      </w:tblGrid>
      <w:tr>
        <w:tc>
          <w:tcPr>
            <w:tcW w:type="dxa" w:w="9746"/>
            <w:shd w:val="clear" w:color="auto" w:fill="EEF2F7"/>
          </w:tcPr>
          <w:p>
            <w:r>
              <w:rPr/>
              <w:t xml:space="preserve">IBM Technology. (2023, 23 de agosto). </w:t>
            </w:r>
            <w:r>
              <w:rPr>
                <w:i/>
              </w:rPr>
              <w:t>What is retrieval-augmented generation (RAG)?</w:t>
            </w:r>
            <w:r>
              <w:rPr/>
              <w:t xml:space="preserve"> [Video]. YouTube. https://www.youtube.com/watch?v=T-D1OfcDW1M</w:t>
            </w:r>
          </w:p>
        </w:tc>
      </w:tr>
    </w:tbl>
    <w:p/>
    <w:p>
      <w:r>
        <w:rPr>
          <w:b/>
        </w:rPr>
        <w:t>Tesis en un repositorio</w:t>
      </w:r>
      <w:r>
        <w:rPr/>
        <w:t xml:space="preserve"> (para pregrado, adaptar la descripción entre corchetes)</w:t>
      </w:r>
    </w:p>
    <w:tbl>
      <w:tblPr>
        <w:tblW w:type="auto" w:w="0"/>
        <w:tblLook w:firstColumn="1" w:firstRow="1" w:lastColumn="0" w:lastRow="0" w:noHBand="0" w:noVBand="1" w:val="04A0"/>
      </w:tblPr>
      <w:tblGrid>
        <w:gridCol w:w="9746"/>
      </w:tblGrid>
      <w:tr>
        <w:tc>
          <w:tcPr>
            <w:tcW w:type="dxa" w:w="9746"/>
            <w:shd w:val="clear" w:color="auto" w:fill="EEF2F7"/>
          </w:tcPr>
          <w:p>
            <w:r>
              <w:rPr/>
              <w:t xml:space="preserve">Carguachi Yangol, E. J. (2025). </w:t>
            </w:r>
            <w:r>
              <w:rPr>
                <w:i/>
              </w:rPr>
              <w:t>Impacto en las empresas consultoras-constructoras por la implementación y gestión de la tecnología de la información en varias ciudades del Ecuador</w:t>
            </w:r>
            <w:r>
              <w:rPr/>
              <w:t xml:space="preserve"> [Tesis de maestría, Universidad de Especialidades Espíritu Santo]. Repositorio UEES. https://repositorio.uees.edu.ec/items/bb313b3e-d136-46ee-91a7-07d6fc192a6b</w:t>
            </w:r>
          </w:p>
        </w:tc>
      </w:tr>
    </w:tbl>
    <w:p/>
    <w:p>
      <w:r>
        <w:rPr/>
        <w:t>(Confirmar en el PDF si es de maestría.)</w:t>
      </w:r>
    </w:p>
    <w:p>
      <w:r>
        <w:rPr>
          <w:b/>
        </w:rPr>
        <w:t>Preprint (arXiv)</w:t>
      </w:r>
    </w:p>
    <w:tbl>
      <w:tblPr>
        <w:tblW w:type="auto" w:w="0"/>
        <w:tblLook w:firstColumn="1" w:firstRow="1" w:lastColumn="0" w:lastRow="0" w:noHBand="0" w:noVBand="1" w:val="04A0"/>
      </w:tblPr>
      <w:tblGrid>
        <w:gridCol w:w="9746"/>
      </w:tblGrid>
      <w:tr>
        <w:tc>
          <w:tcPr>
            <w:tcW w:type="dxa" w:w="9746"/>
            <w:shd w:val="clear" w:color="auto" w:fill="EEF2F7"/>
          </w:tcPr>
          <w:p>
            <w:r>
              <w:rPr/>
              <w:t xml:space="preserve">Brehme, L., Dornauer, B., Ströhle, T., Ehrhart, M., y Breu, R. (2025). </w:t>
            </w:r>
            <w:r>
              <w:rPr>
                <w:i/>
              </w:rPr>
              <w:t>Retrieval-augmented generation in industry: An interview study on use cases, requirements, challenges, and evaluation</w:t>
            </w:r>
            <w:r>
              <w:rPr/>
              <w:t>. arXiv. https://doi.org/10.48550/arXiv.2508.14066</w:t>
            </w:r>
          </w:p>
        </w:tc>
      </w:tr>
    </w:tbl>
    <w:p/>
    <w:p>
      <w:r>
        <w:rPr>
          <w:b/>
        </w:rPr>
        <w:t>Ley ecuatoriana.</w:t>
      </w:r>
      <w:r>
        <w:rPr/>
        <w:t xml:space="preserve"> APA no tiene un modelo para leyes de fuera de EE. UU. Se usa la adaptación de la guía de la biblioteca de la UTPL (p. 49 de su manual APA 7):</w:t>
      </w:r>
    </w:p>
    <w:p>
      <w:r>
        <w:rPr>
          <w:rFonts w:ascii="Consolas" w:hAnsi="Consolas" w:cs="Consolas" w:eastAsia="Consolas"/>
          <w:color w:val="0B1F3A"/>
          <w:sz w:val="19"/>
        </w:rPr>
        <w:t>Entidad que la expide. (Año, día de mes). *Título de la ley*. Registro Oficial [Suplemento] n.º X. URL</w:t>
      </w:r>
    </w:p>
    <w:tbl>
      <w:tblPr>
        <w:tblW w:type="auto" w:w="0"/>
        <w:tblLook w:firstColumn="1" w:firstRow="1" w:lastColumn="0" w:lastRow="0" w:noHBand="0" w:noVBand="1" w:val="04A0"/>
      </w:tblPr>
      <w:tblGrid>
        <w:gridCol w:w="9746"/>
      </w:tblGrid>
      <w:tr>
        <w:tc>
          <w:tcPr>
            <w:tcW w:type="dxa" w:w="9746"/>
            <w:shd w:val="clear" w:color="auto" w:fill="EEF2F7"/>
          </w:tcPr>
          <w:p>
            <w:r>
              <w:rPr/>
              <w:t xml:space="preserve">Asamblea Nacional del Ecuador. (2021, 26 de mayo). </w:t>
            </w:r>
            <w:r>
              <w:rPr>
                <w:i/>
              </w:rPr>
              <w:t>Ley Orgánica de Protección de Datos Personales</w:t>
            </w:r>
            <w:r>
              <w:rPr/>
              <w:t>. Registro Oficial Quinto Suplemento n.º 459. [URL oficial pendiente]</w:t>
            </w:r>
          </w:p>
        </w:tc>
      </w:tr>
    </w:tbl>
    <w:p/>
    <w:p>
      <w:r>
        <w:rPr/>
        <w:t xml:space="preserve">Cita: (Ley Orgánica de Protección de Datos Personales [LOPDP], 2021, art. X). </w:t>
      </w:r>
      <w:r>
        <w:rPr>
          <w:b/>
        </w:rPr>
        <w:t>Verificar la fecha y el número contra el Registro Oficial antes de usarla (A42).</w:t>
      </w:r>
    </w:p>
    <w:p>
      <w:r>
        <w:rPr>
          <w:b/>
        </w:rPr>
        <w:t>Herramienta de IA</w:t>
      </w:r>
      <w:r>
        <w:rPr/>
        <w:t xml:space="preserve"> (APA, «AI references», abril de 2026)</w:t>
      </w:r>
    </w:p>
    <w:tbl>
      <w:tblPr>
        <w:tblW w:type="auto" w:w="0"/>
        <w:tblLook w:firstColumn="1" w:firstRow="1" w:lastColumn="0" w:lastRow="0" w:noHBand="0" w:noVBand="1" w:val="04A0"/>
      </w:tblPr>
      <w:tblGrid>
        <w:gridCol w:w="9746"/>
      </w:tblGrid>
      <w:tr>
        <w:tc>
          <w:tcPr>
            <w:tcW w:type="dxa" w:w="9746"/>
            <w:shd w:val="clear" w:color="auto" w:fill="EEF2F7"/>
          </w:tcPr>
          <w:p>
            <w:r>
              <w:rPr/>
              <w:t xml:space="preserve">Anthropic. (2026). </w:t>
            </w:r>
            <w:r>
              <w:rPr>
                <w:i/>
              </w:rPr>
              <w:t>Claude</w:t>
            </w:r>
            <w:r>
              <w:rPr/>
              <w:t xml:space="preserve"> [Modelo de lenguaje grande]. https://claude.ai</w:t>
            </w:r>
          </w:p>
        </w:tc>
      </w:tr>
    </w:tbl>
    <w:p/>
    <w:p>
      <w:r>
        <w:rPr/>
        <w:t xml:space="preserve">Para una conversación concreta compartida: </w:t>
      </w:r>
      <w:r>
        <w:rPr>
          <w:rFonts w:ascii="Consolas" w:hAnsi="Consolas" w:cs="Consolas" w:eastAsia="Consolas"/>
          <w:color w:val="0B1F3A"/>
          <w:sz w:val="19"/>
        </w:rPr>
        <w:t>Empresa. (Año, día de mes). *Título del chat* [Chat de IA generativa]. Herramienta. URL</w:t>
      </w:r>
    </w:p>
    <w:p>
      <w:r>
        <w:rPr>
          <w:b/>
        </w:rPr>
        <w:t>Conjunto de datos propio</w:t>
      </w:r>
      <w:r>
        <w:rPr/>
        <w:t xml:space="preserve"> (solo si se publica, por ejemplo, la línea base anonimizada)</w:t>
      </w:r>
    </w:p>
    <w:p>
      <w:r>
        <w:rPr>
          <w:rFonts w:ascii="Consolas" w:hAnsi="Consolas" w:cs="Consolas" w:eastAsia="Consolas"/>
          <w:color w:val="0B1F3A"/>
          <w:sz w:val="19"/>
        </w:rPr>
        <w:t>Autores. (Año). *Título del conjunto de datos* (Versión X) [Conjunto de datos]. Editor/Repositorio. URL</w:t>
      </w:r>
    </w:p>
    <w:p>
      <w:r>
        <w:rPr>
          <w:b/>
        </w:rPr>
        <w:t>Software</w:t>
      </w:r>
      <w:r>
        <w:rPr/>
        <w:t xml:space="preserve"> (Obsidian, n8n, etc.)</w:t>
      </w:r>
    </w:p>
    <w:p>
      <w:r>
        <w:rPr>
          <w:rFonts w:ascii="Consolas" w:hAnsi="Consolas" w:cs="Consolas" w:eastAsia="Consolas"/>
          <w:color w:val="0B1F3A"/>
          <w:sz w:val="19"/>
        </w:rPr>
        <w:t>Empresa. (Año). *Nombre* (Versión X) [Software]. URL</w:t>
      </w:r>
      <w:r>
        <w:rPr/>
        <w:t xml:space="preserve"> (</w:t>
      </w:r>
      <w:r>
        <w:rPr>
          <w:b/>
        </w:rPr>
        <w:t>Por confirmar</w:t>
      </w:r>
      <w:r>
        <w:rPr/>
        <w:t xml:space="preserve"> en la página oficial de APA; no se pudo abrir el 12-oct.)</w:t>
      </w:r>
    </w:p>
    <w:p>
      <w:pPr>
        <w:pStyle w:val="Heading2"/>
      </w:pPr>
      <w:r>
        <w:t>6.3 Si falta un dato (APA, «Missing reference information»)</w:t>
      </w:r>
    </w:p>
    <w:tbl>
      <w:tblPr>
        <w:tblStyle w:val="TableGrid"/>
        <w:tblW w:type="auto" w:w="0"/>
        <w:jc w:val="center"/>
        <w:tblLook w:firstColumn="1" w:firstRow="1" w:lastColumn="0" w:lastRow="0" w:noHBand="0" w:noVBand="1" w:val="04A0"/>
        <w:tblBorders>
          <w:top w:val="single" w:sz="4" w:color="B87333"/>
          <w:left w:val="single" w:sz="4" w:color="B87333"/>
          <w:bottom w:val="single" w:sz="4" w:color="B87333"/>
          <w:right w:val="single" w:sz="4" w:color="B87333"/>
          <w:insideH w:val="single" w:sz="4" w:color="C9A27E"/>
          <w:insideV w:val="single" w:sz="4" w:color="C9A27E"/>
        </w:tblBorders>
      </w:tblPr>
      <w:tblGrid>
        <w:gridCol w:w="4873"/>
        <w:gridCol w:w="4873"/>
      </w:tblGrid>
      <w:tr>
        <w:tc>
          <w:tcPr>
            <w:tcW w:type="dxa" w:w="4873"/>
            <w:shd w:val="clear" w:color="auto" w:fill="0B1F3A"/>
          </w:tcPr>
          <w:p>
            <w:pPr>
              <w:spacing w:after="20"/>
            </w:pPr>
            <w:r/>
            <w:r>
              <w:rPr>
                <w:rFonts w:ascii="Poppins" w:hAnsi="Poppins" w:cs="Poppins" w:eastAsia="Poppins"/>
                <w:b/>
                <w:color w:val="FFFFFF"/>
                <w:sz w:val="19"/>
              </w:rPr>
              <w:t>Falta</w:t>
            </w:r>
          </w:p>
        </w:tc>
        <w:tc>
          <w:tcPr>
            <w:tcW w:type="dxa" w:w="4873"/>
            <w:shd w:val="clear" w:color="auto" w:fill="0B1F3A"/>
          </w:tcPr>
          <w:p>
            <w:pPr>
              <w:spacing w:after="20"/>
            </w:pPr>
            <w:r/>
            <w:r>
              <w:rPr>
                <w:rFonts w:ascii="Poppins" w:hAnsi="Poppins" w:cs="Poppins" w:eastAsia="Poppins"/>
                <w:b/>
                <w:color w:val="FFFFFF"/>
                <w:sz w:val="19"/>
              </w:rPr>
              <w:t>Solución</w:t>
            </w:r>
          </w:p>
        </w:tc>
      </w:tr>
      <w:tr>
        <w:tc>
          <w:tcPr>
            <w:tcW w:type="dxa" w:w="4873"/>
          </w:tcPr>
          <w:p>
            <w:pPr>
              <w:spacing w:after="20"/>
            </w:pPr>
            <w:r>
              <w:rPr>
                <w:sz w:val="19"/>
              </w:rPr>
            </w:r>
            <w:r>
              <w:rPr>
                <w:sz w:val="19"/>
              </w:rPr>
              <w:t>Autor</w:t>
            </w:r>
          </w:p>
        </w:tc>
        <w:tc>
          <w:tcPr>
            <w:tcW w:type="dxa" w:w="4873"/>
          </w:tcPr>
          <w:p>
            <w:pPr>
              <w:spacing w:after="20"/>
            </w:pPr>
            <w:r>
              <w:rPr>
                <w:sz w:val="19"/>
              </w:rPr>
            </w:r>
            <w:r>
              <w:rPr>
                <w:sz w:val="19"/>
              </w:rPr>
              <w:t>El título pasa a ocupar el lugar del autor</w:t>
            </w:r>
          </w:p>
        </w:tc>
      </w:tr>
      <w:tr>
        <w:tc>
          <w:tcPr>
            <w:tcW w:type="dxa" w:w="4873"/>
            <w:shd w:val="clear" w:color="auto" w:fill="EEF2F7"/>
          </w:tcPr>
          <w:p>
            <w:pPr>
              <w:spacing w:after="20"/>
            </w:pPr>
            <w:r>
              <w:rPr>
                <w:sz w:val="19"/>
              </w:rPr>
            </w:r>
            <w:r>
              <w:rPr>
                <w:sz w:val="19"/>
              </w:rPr>
              <w:t>Fecha</w:t>
            </w:r>
          </w:p>
        </w:tc>
        <w:tc>
          <w:tcPr>
            <w:tcW w:type="dxa" w:w="4873"/>
            <w:shd w:val="clear" w:color="auto" w:fill="EEF2F7"/>
          </w:tcPr>
          <w:p>
            <w:pPr>
              <w:spacing w:after="20"/>
            </w:pPr>
            <w:r>
              <w:rPr>
                <w:sz w:val="19"/>
              </w:rPr>
            </w:r>
            <w:r>
              <w:rPr>
                <w:sz w:val="19"/>
              </w:rPr>
              <w:t>«(s. f.)»</w:t>
            </w:r>
          </w:p>
        </w:tc>
      </w:tr>
      <w:tr>
        <w:tc>
          <w:tcPr>
            <w:tcW w:type="dxa" w:w="4873"/>
          </w:tcPr>
          <w:p>
            <w:pPr>
              <w:spacing w:after="20"/>
            </w:pPr>
            <w:r>
              <w:rPr>
                <w:sz w:val="19"/>
              </w:rPr>
            </w:r>
            <w:r>
              <w:rPr>
                <w:sz w:val="19"/>
              </w:rPr>
              <w:t>Título</w:t>
            </w:r>
          </w:p>
        </w:tc>
        <w:tc>
          <w:tcPr>
            <w:tcW w:type="dxa" w:w="4873"/>
          </w:tcPr>
          <w:p>
            <w:pPr>
              <w:spacing w:after="20"/>
            </w:pPr>
            <w:r>
              <w:rPr>
                <w:sz w:val="19"/>
              </w:rPr>
            </w:r>
            <w:r>
              <w:rPr>
                <w:sz w:val="19"/>
              </w:rPr>
              <w:t>[Descripción entre corchetes]</w:t>
            </w:r>
          </w:p>
        </w:tc>
      </w:tr>
      <w:tr>
        <w:tc>
          <w:tcPr>
            <w:tcW w:type="dxa" w:w="4873"/>
            <w:shd w:val="clear" w:color="auto" w:fill="EEF2F7"/>
          </w:tcPr>
          <w:p>
            <w:pPr>
              <w:spacing w:after="20"/>
            </w:pPr>
            <w:r>
              <w:rPr>
                <w:sz w:val="19"/>
              </w:rPr>
            </w:r>
            <w:r>
              <w:rPr>
                <w:sz w:val="19"/>
              </w:rPr>
              <w:t>Autor y fecha</w:t>
            </w:r>
          </w:p>
        </w:tc>
        <w:tc>
          <w:tcPr>
            <w:tcW w:type="dxa" w:w="4873"/>
            <w:shd w:val="clear" w:color="auto" w:fill="EEF2F7"/>
          </w:tcPr>
          <w:p>
            <w:pPr>
              <w:spacing w:after="20"/>
            </w:pPr>
            <w:r>
              <w:rPr>
                <w:sz w:val="19"/>
              </w:rPr>
            </w:r>
            <w:r>
              <w:rPr>
                <w:sz w:val="19"/>
              </w:rPr>
              <w:t>Título. (s. f.). Fuente.</w:t>
            </w:r>
          </w:p>
        </w:tc>
      </w:tr>
    </w:tbl>
    <w:p/>
    <w:p>
      <w:pPr>
        <w:pStyle w:val="Heading2"/>
      </w:pPr>
      <w:r>
        <w:t>6.4 Contraejemplo: lo que **no** se hace</w:t>
      </w:r>
    </w:p>
    <w:p>
      <w:r>
        <w:rPr/>
        <w:t>La tesis UPS de Negocios Digitales de 2026 trae referencias de este tipo:</w:t>
      </w:r>
    </w:p>
    <w:p>
      <w:r>
        <w:rPr>
          <w:rFonts w:ascii="Consolas" w:hAnsi="Consolas" w:cs="Consolas" w:eastAsia="Consolas"/>
          <w:color w:val="0B1F3A"/>
          <w:sz w:val="19"/>
        </w:rPr>
        <w:t>Aguilar. (16 de Mayo de 2023). UCE. doi:https://doi.org/...</w:t>
      </w:r>
    </w:p>
    <w:p>
      <w:r>
        <w:rPr/>
        <w:t xml:space="preserve">Son el formato automático de Word (APA 6): les falta el título y la revista, ponen «Obtenido de», escriben «doi:» antes del enlace y dejan la fecha completa en un artículo. </w:t>
      </w:r>
      <w:r>
        <w:rPr>
          <w:b/>
        </w:rPr>
        <w:t>La IA nunca genera referencias con el botón de Word</w:t>
      </w:r>
      <w:r>
        <w:rPr/>
        <w:t xml:space="preserve"> ni copia este estilo.</w:t>
      </w:r>
    </w:p>
    <w:p>
      <w:r>
        <w:rPr/>
        <w:t>---</w:t>
      </w:r>
    </w:p>
    <w:p>
      <w:pPr>
        <w:pStyle w:val="Heading1"/>
        <w:pBdr>
          <w:bottom w:val="single" w:sz="10" w:space="4" w:color="B87333"/>
        </w:pBdr>
      </w:pPr>
      <w:r>
        <w:t>7. Tablas y figuras (APA 7, cap. 7)</w:t>
      </w:r>
    </w:p>
    <w:p>
      <w:r>
        <w:rPr>
          <w:b/>
        </w:rPr>
        <w:t>Partes:</w:t>
      </w:r>
    </w:p>
    <w:p>
      <w:pPr>
        <w:pStyle w:val="ListNumber"/>
      </w:pPr>
      <w:r>
        <w:rPr>
          <w:b/>
        </w:rPr>
        <w:t>Número</w:t>
      </w:r>
      <w:r>
        <w:rPr/>
        <w:t xml:space="preserve"> en negrita: </w:t>
      </w:r>
      <w:r>
        <w:rPr>
          <w:b/>
        </w:rPr>
        <w:t>Tabla 1</w:t>
      </w:r>
      <w:r>
        <w:rPr/>
        <w:t xml:space="preserve"> o </w:t>
      </w:r>
      <w:r>
        <w:rPr>
          <w:b/>
        </w:rPr>
        <w:t>Figura 1</w:t>
      </w:r>
      <w:r>
        <w:rPr/>
        <w:t>.</w:t>
      </w:r>
    </w:p>
    <w:p>
      <w:pPr>
        <w:pStyle w:val="ListNumber"/>
      </w:pPr>
      <w:r>
        <w:rPr/>
        <w:t xml:space="preserve">Debajo, el </w:t>
      </w:r>
      <w:r>
        <w:rPr>
          <w:b/>
        </w:rPr>
        <w:t>título</w:t>
      </w:r>
      <w:r>
        <w:rPr/>
        <w:t xml:space="preserve"> en </w:t>
      </w:r>
      <w:r>
        <w:rPr>
          <w:i/>
        </w:rPr>
        <w:t>cursiva</w:t>
      </w:r>
      <w:r>
        <w:rPr/>
        <w:t>.</w:t>
      </w:r>
    </w:p>
    <w:p>
      <w:pPr>
        <w:pStyle w:val="ListNumber"/>
      </w:pPr>
      <w:r>
        <w:rPr/>
        <w:t>El cuerpo o la imagen.</w:t>
      </w:r>
    </w:p>
    <w:p>
      <w:pPr>
        <w:pStyle w:val="ListNumber"/>
      </w:pPr>
      <w:r>
        <w:rPr>
          <w:b/>
        </w:rPr>
        <w:t>Nota.</w:t>
      </w:r>
      <w:r>
        <w:rPr/>
        <w:t xml:space="preserve"> debajo, si hace falta.</w:t>
      </w:r>
    </w:p>
    <w:p>
      <w:r>
        <w:rPr>
          <w:b/>
        </w:rPr>
        <w:t>Tablas:</w:t>
      </w:r>
    </w:p>
    <w:p>
      <w:pPr>
        <w:pStyle w:val="ListBullet"/>
      </w:pPr>
      <w:r>
        <w:rPr/>
        <w:t xml:space="preserve">Solo llevan líneas horizontales: arriba, bajo los encabezados y abajo. </w:t>
      </w:r>
      <w:r>
        <w:rPr>
          <w:b/>
        </w:rPr>
        <w:t>Nunca líneas verticales</w:t>
      </w:r>
      <w:r>
        <w:rPr/>
        <w:t xml:space="preserve"> ni bordes en cada celda.</w:t>
      </w:r>
    </w:p>
    <w:p>
      <w:pPr>
        <w:pStyle w:val="ListBullet"/>
      </w:pPr>
      <w:r>
        <w:rPr/>
        <w:t>La primera columna va alineada a la izquierda; el resto, centrado (a la izquierda si es texto largo).</w:t>
      </w:r>
    </w:p>
    <w:p>
      <w:pPr>
        <w:pStyle w:val="ListBullet"/>
      </w:pPr>
      <w:r>
        <w:rPr/>
        <w:t>Si la tabla pasa de página, se repite el encabezado.</w:t>
      </w:r>
    </w:p>
    <w:p>
      <w:r>
        <w:rPr>
          <w:b/>
        </w:rPr>
        <w:t>Figuras:</w:t>
      </w:r>
    </w:p>
    <w:p>
      <w:pPr>
        <w:pStyle w:val="ListBullet"/>
      </w:pPr>
      <w:r>
        <w:rPr/>
        <w:t>Letra sin serifa de 8 a 14 pt dentro de la imagen; ejes rotulados con sus unidades.</w:t>
      </w:r>
    </w:p>
    <w:p>
      <w:pPr>
        <w:pStyle w:val="ListBullet"/>
      </w:pPr>
      <w:r>
        <w:rPr/>
        <w:t>La leyenda va dentro de la figura.</w:t>
      </w:r>
    </w:p>
    <w:p>
      <w:r>
        <w:rPr>
          <w:b/>
        </w:rPr>
        <w:t>Para las dos:</w:t>
      </w:r>
    </w:p>
    <w:p>
      <w:pPr>
        <w:pStyle w:val="ListBullet"/>
      </w:pPr>
      <w:r>
        <w:rPr/>
        <w:t xml:space="preserve">Se mencionan en el texto </w:t>
      </w:r>
      <w:r>
        <w:rPr>
          <w:b/>
        </w:rPr>
        <w:t>antes</w:t>
      </w:r>
      <w:r>
        <w:rPr/>
        <w:t xml:space="preserve"> de que aparezcan («Como muestra la Tabla 3, …») y se numeran en el orden en que se mencionan.</w:t>
      </w:r>
    </w:p>
    <w:p>
      <w:pPr>
        <w:pStyle w:val="ListBullet"/>
      </w:pPr>
      <w:r>
        <w:rPr/>
        <w:t>Deben entenderse solas, sin leer el texto.</w:t>
      </w:r>
    </w:p>
    <w:p>
      <w:r>
        <w:rPr>
          <w:b/>
        </w:rPr>
        <w:t>Origen (práctica en español, en la nota):</w:t>
      </w:r>
    </w:p>
    <w:p>
      <w:pPr>
        <w:pStyle w:val="ListBullet"/>
      </w:pPr>
      <w:r>
        <w:rPr>
          <w:i/>
        </w:rPr>
        <w:t>Nota.</w:t>
      </w:r>
      <w:r>
        <w:rPr/>
        <w:t xml:space="preserve"> Elaboración propia con datos del levantamiento en Torvesa (octubre de 2026).</w:t>
      </w:r>
    </w:p>
    <w:p>
      <w:pPr>
        <w:pStyle w:val="ListBullet"/>
      </w:pPr>
      <w:r>
        <w:rPr>
          <w:i/>
        </w:rPr>
        <w:t>Nota.</w:t>
      </w:r>
      <w:r>
        <w:rPr/>
        <w:t xml:space="preserve"> Adaptado de </w:t>
      </w:r>
      <w:r>
        <w:rPr>
          <w:i/>
        </w:rPr>
        <w:t>Título</w:t>
      </w:r>
      <w:r>
        <w:rPr/>
        <w:t>, por Autor (Año), p. X.</w:t>
      </w:r>
    </w:p>
    <w:p>
      <w:pPr>
        <w:pStyle w:val="ListBullet"/>
      </w:pPr>
      <w:r>
        <w:rPr>
          <w:i/>
        </w:rPr>
        <w:t>Nota.</w:t>
      </w:r>
      <w:r>
        <w:rPr/>
        <w:t xml:space="preserve"> Tomado de … (si es una copia exacta, puede requerir permiso).</w:t>
      </w:r>
    </w:p>
    <w:p>
      <w:r>
        <w:rPr>
          <w:b/>
        </w:rPr>
        <w:t>Diagramas</w:t>
      </w:r>
      <w:r>
        <w:rPr/>
        <w:t xml:space="preserve"> (BPMN, arquitectura): son figuras. Se hacen con </w:t>
      </w:r>
      <w:r>
        <w:rPr>
          <w:rFonts w:ascii="Consolas" w:hAnsi="Consolas" w:cs="Consolas" w:eastAsia="Consolas"/>
          <w:color w:val="0B1F3A"/>
          <w:sz w:val="19"/>
        </w:rPr>
        <w:t>99_Scripts/gestion/diagramas.py</w:t>
      </w:r>
      <w:r>
        <w:rPr/>
        <w:t xml:space="preserve"> o con Bizagi, y siempre llevan número, título y nota.</w:t>
      </w:r>
    </w:p>
    <w:p>
      <w:r>
        <w:rPr/>
        <w:t>---</w:t>
      </w:r>
    </w:p>
    <w:p>
      <w:pPr>
        <w:pStyle w:val="Heading1"/>
        <w:pBdr>
          <w:bottom w:val="single" w:sz="10" w:space="4" w:color="B87333"/>
        </w:pBdr>
      </w:pPr>
      <w:r>
        <w:t>8. Presentación de datos y resultados</w:t>
      </w:r>
    </w:p>
    <w:p>
      <w:pPr>
        <w:pStyle w:val="Heading2"/>
      </w:pPr>
      <w:r>
        <w:t>8.1 Diseño mixto (APA JARS–Mixed, 2024)</w:t>
      </w:r>
    </w:p>
    <w:p>
      <w:pPr>
        <w:pStyle w:val="ListBullet"/>
      </w:pPr>
      <w:r>
        <w:rPr/>
        <w:t xml:space="preserve">Nombrar el </w:t>
      </w:r>
      <w:r>
        <w:rPr>
          <w:b/>
        </w:rPr>
        <w:t>tipo de diseño mixto</w:t>
      </w:r>
      <w:r>
        <w:rPr/>
        <w:t xml:space="preserve"> en el resumen y en el Cap. III; decir qué parte es cuantitativa y cuál cualitativa.</w:t>
      </w:r>
    </w:p>
    <w:p>
      <w:pPr>
        <w:pStyle w:val="ListBullet"/>
      </w:pPr>
      <w:r>
        <w:rPr/>
        <w:t xml:space="preserve">Plantear </w:t>
      </w:r>
      <w:r>
        <w:rPr>
          <w:b/>
        </w:rPr>
        <w:t>tres tipos de objetivos</w:t>
      </w:r>
      <w:r>
        <w:rPr/>
        <w:t>: cuantitativos, cualitativos y mixtos (de integración), en el orden del diseño.</w:t>
      </w:r>
    </w:p>
    <w:p>
      <w:pPr>
        <w:pStyle w:val="ListBullet"/>
      </w:pPr>
      <w:r>
        <w:rPr/>
        <w:t xml:space="preserve">Explicar </w:t>
      </w:r>
      <w:r>
        <w:rPr>
          <w:b/>
        </w:rPr>
        <w:t>cómo se integran</w:t>
      </w:r>
      <w:r>
        <w:rPr/>
        <w:t xml:space="preserve"> los dos tipos de datos, por ejemplo con una tabla que pone frente a frente la cifra y la cita del participante.</w:t>
      </w:r>
    </w:p>
    <w:p>
      <w:pPr>
        <w:pStyle w:val="ListBullet"/>
      </w:pPr>
      <w:r>
        <w:rPr/>
        <w:t>En los títulos y objetivos, evitar palabras que inclinen el estudio hacia un solo lado, como «explorar» (cualitativo) o «determinantes» (cuantitativo).</w:t>
      </w:r>
    </w:p>
    <w:p>
      <w:pPr>
        <w:pStyle w:val="Heading2"/>
      </w:pPr>
      <w:r>
        <w:t>8.2 Datos cuantitativos (censos, cronometraje, metas M1–M6)</w:t>
      </w:r>
    </w:p>
    <w:p>
      <w:pPr>
        <w:pStyle w:val="ListBullet"/>
      </w:pPr>
      <w:r>
        <w:rPr/>
        <w:t xml:space="preserve">Siempre se informa: </w:t>
      </w:r>
      <w:r>
        <w:rPr>
          <w:b/>
        </w:rPr>
        <w:t>N</w:t>
      </w:r>
      <w:r>
        <w:rPr/>
        <w:t xml:space="preserve"> (población), </w:t>
      </w:r>
      <w:r>
        <w:rPr>
          <w:b/>
        </w:rPr>
        <w:t>n</w:t>
      </w:r>
      <w:r>
        <w:rPr/>
        <w:t xml:space="preserve"> (respuestas válidas por ítem), los datos perdidos y por qué.</w:t>
      </w:r>
    </w:p>
    <w:p>
      <w:pPr>
        <w:pStyle w:val="ListBullet"/>
      </w:pPr>
      <w:r>
        <w:rPr>
          <w:b/>
        </w:rPr>
        <w:t>Porcentajes</w:t>
      </w:r>
      <w:r>
        <w:rPr/>
        <w:t xml:space="preserve"> con un decimal, junto a la frecuencia: «13 de 30 (43,3 %)». Con N = 30, </w:t>
      </w:r>
      <w:r>
        <w:rPr>
          <w:b/>
        </w:rPr>
        <w:t>un participante vale 3,3 puntos</w:t>
      </w:r>
      <w:r>
        <w:rPr/>
        <w:t>: no sobreinterpretar.</w:t>
      </w:r>
    </w:p>
    <w:p>
      <w:pPr>
        <w:pStyle w:val="ListBullet"/>
      </w:pPr>
      <w:r>
        <w:rPr>
          <w:b/>
        </w:rPr>
        <w:t>Estadísticos:</w:t>
      </w:r>
      <w:r>
        <w:rPr/>
        <w:t xml:space="preserve"> media (M) con desviación estándar (DE), o mediana (Mdn) con rango intercuartílico. Con dos decimales y las unidades.</w:t>
      </w:r>
    </w:p>
    <w:p>
      <w:pPr>
        <w:pStyle w:val="ListBullet"/>
        <w:ind w:left="714"/>
      </w:pPr>
      <w:r>
        <w:rPr/>
        <w:t xml:space="preserve">Las pruebas </w:t>
      </w:r>
      <w:r>
        <w:rPr>
          <w:b/>
        </w:rPr>
        <w:t>no paramétricas</w:t>
      </w:r>
      <w:r>
        <w:rPr/>
        <w:t xml:space="preserve"> se informan con el estadístico, el valor p exacto y el tamaño del efecto.</w:t>
      </w:r>
    </w:p>
    <w:p>
      <w:pPr>
        <w:pStyle w:val="ListBullet"/>
        <w:ind w:left="714"/>
      </w:pPr>
      <w:r>
        <w:rPr/>
        <w:t>Los símbolos van en cursiva (</w:t>
      </w:r>
      <w:r>
        <w:rPr>
          <w:i/>
        </w:rPr>
        <w:t>M</w:t>
      </w:r>
      <w:r>
        <w:rPr/>
        <w:t xml:space="preserve">, </w:t>
      </w:r>
      <w:r>
        <w:rPr>
          <w:i/>
        </w:rPr>
        <w:t>DE</w:t>
      </w:r>
      <w:r>
        <w:rPr/>
        <w:t xml:space="preserve">, </w:t>
      </w:r>
      <w:r>
        <w:rPr>
          <w:i/>
        </w:rPr>
        <w:t>p</w:t>
      </w:r>
      <w:r>
        <w:rPr/>
        <w:t xml:space="preserve">, </w:t>
      </w:r>
      <w:r>
        <w:rPr>
          <w:i/>
        </w:rPr>
        <w:t>n</w:t>
      </w:r>
      <w:r>
        <w:rPr/>
        <w:t>).</w:t>
      </w:r>
    </w:p>
    <w:p>
      <w:pPr>
        <w:pStyle w:val="ListBullet"/>
      </w:pPr>
      <w:r>
        <w:rPr>
          <w:b/>
        </w:rPr>
        <w:t>SUS:</w:t>
      </w:r>
      <w:r>
        <w:rPr/>
        <w:t xml:space="preserve"> puntaje de 0 a 100, frente al umbral de 68 (A20). Indicar la versión en español validada que se usó.</w:t>
      </w:r>
    </w:p>
    <w:p>
      <w:pPr>
        <w:pStyle w:val="ListBullet"/>
      </w:pPr>
      <w:r>
        <w:rPr>
          <w:b/>
        </w:rPr>
        <w:t>Tiempos:</w:t>
      </w:r>
      <w:r>
        <w:rPr/>
        <w:t xml:space="preserve"> en minutos con un decimal; informar la mediana además de la media, porque los tiempos de respuesta suelen ser asimétricos.</w:t>
      </w:r>
    </w:p>
    <w:p>
      <w:pPr>
        <w:pStyle w:val="ListBullet"/>
      </w:pPr>
      <w:r>
        <w:rPr>
          <w:b/>
        </w:rPr>
        <w:t>Antes y después:</w:t>
      </w:r>
      <w:r>
        <w:rPr/>
        <w:t xml:space="preserve"> misma métrica, mismo procedimiento, mismo período de duración. La diferencia se reporta y las limitaciones se dicen.</w:t>
      </w:r>
    </w:p>
    <w:p>
      <w:pPr>
        <w:pStyle w:val="Heading2"/>
      </w:pPr>
      <w:r>
        <w:t>8.3 Datos cualitativos (entrevistas)</w:t>
      </w:r>
    </w:p>
    <w:p>
      <w:pPr>
        <w:pStyle w:val="ListBullet"/>
      </w:pPr>
      <w:r>
        <w:rPr/>
        <w:t>Explicar cómo se codificó (categorías) y presentar una tabla de categorías con su frecuencia y una cita representativa.</w:t>
      </w:r>
    </w:p>
    <w:p>
      <w:pPr>
        <w:pStyle w:val="ListBullet"/>
      </w:pPr>
      <w:r>
        <w:rPr/>
        <w:t xml:space="preserve">Citas de participantes: anónimas, cortas y con contexto. Nunca datos que permitan identificar a alguien (LOPDP; datos crudos solo en </w:t>
      </w:r>
      <w:r>
        <w:rPr>
          <w:rFonts w:ascii="Consolas" w:hAnsi="Consolas" w:cs="Consolas" w:eastAsia="Consolas"/>
          <w:color w:val="0B1F3A"/>
          <w:sz w:val="19"/>
        </w:rPr>
        <w:t>05_Datos_Campo/_crudo/</w:t>
      </w:r>
      <w:r>
        <w:rPr/>
        <w:t>).</w:t>
      </w:r>
    </w:p>
    <w:p>
      <w:pPr>
        <w:pStyle w:val="Heading2"/>
      </w:pPr>
      <w:r>
        <w:t>8.4 Artefacto (Cap. V, en lugar de «resultados» en DSR)</w:t>
      </w:r>
    </w:p>
    <w:p>
      <w:pPr>
        <w:pStyle w:val="ListBullet"/>
      </w:pPr>
      <w:r>
        <w:rPr/>
        <w:t>Describir el artefacto con requisitos → diseño → componentes → flujo TO-BE → decisiones y alternativas descartadas (con su porqué).</w:t>
      </w:r>
    </w:p>
    <w:p>
      <w:pPr>
        <w:pStyle w:val="ListBullet"/>
      </w:pPr>
      <w:r>
        <w:rPr/>
        <w:t>Cada requisito debe venir de un hallazgo del diagnóstico (trazabilidad, anexo A.6 del borrador).</w:t>
      </w:r>
    </w:p>
    <w:p>
      <w:r>
        <w:rPr/>
        <w:t>---</w:t>
      </w:r>
    </w:p>
    <w:p>
      <w:pPr>
        <w:pStyle w:val="Heading1"/>
        <w:pBdr>
          <w:bottom w:val="single" w:sz="10" w:space="4" w:color="B87333"/>
        </w:pBdr>
      </w:pPr>
      <w:r>
        <w:t>9. Formato del documento final</w:t>
      </w:r>
    </w:p>
    <w:tbl>
      <w:tblPr>
        <w:tblStyle w:val="TableGrid"/>
        <w:tblW w:type="auto" w:w="0"/>
        <w:jc w:val="center"/>
        <w:tblLook w:firstColumn="1" w:firstRow="1" w:lastColumn="0" w:lastRow="0" w:noHBand="0" w:noVBand="1" w:val="04A0"/>
        <w:tblBorders>
          <w:top w:val="single" w:sz="4" w:color="B87333"/>
          <w:left w:val="single" w:sz="4" w:color="B87333"/>
          <w:bottom w:val="single" w:sz="4" w:color="B87333"/>
          <w:right w:val="single" w:sz="4" w:color="B87333"/>
          <w:insideH w:val="single" w:sz="4" w:color="C9A27E"/>
          <w:insideV w:val="single" w:sz="4" w:color="C9A27E"/>
        </w:tblBorders>
      </w:tblPr>
      <w:tblGrid>
        <w:gridCol w:w="2436"/>
        <w:gridCol w:w="2436"/>
        <w:gridCol w:w="2436"/>
        <w:gridCol w:w="2436"/>
      </w:tblGrid>
      <w:tr>
        <w:tc>
          <w:tcPr>
            <w:tcW w:type="dxa" w:w="2436"/>
            <w:shd w:val="clear" w:color="auto" w:fill="0B1F3A"/>
          </w:tcPr>
          <w:p>
            <w:pPr>
              <w:spacing w:after="20"/>
            </w:pPr>
            <w:r/>
            <w:r>
              <w:rPr>
                <w:rFonts w:ascii="Poppins" w:hAnsi="Poppins" w:cs="Poppins" w:eastAsia="Poppins"/>
                <w:b/>
                <w:color w:val="FFFFFF"/>
                <w:sz w:val="19"/>
              </w:rPr>
              <w:t>Elemento</w:t>
            </w:r>
          </w:p>
        </w:tc>
        <w:tc>
          <w:tcPr>
            <w:tcW w:type="dxa" w:w="2436"/>
            <w:shd w:val="clear" w:color="auto" w:fill="0B1F3A"/>
          </w:tcPr>
          <w:p>
            <w:pPr>
              <w:spacing w:after="20"/>
            </w:pPr>
            <w:r/>
            <w:r>
              <w:rPr>
                <w:rFonts w:ascii="Poppins" w:hAnsi="Poppins" w:cs="Poppins" w:eastAsia="Poppins"/>
                <w:b/>
                <w:color w:val="FFFFFF"/>
                <w:sz w:val="19"/>
              </w:rPr>
              <w:t>Práctica UPS observada (2026)</w:t>
            </w:r>
          </w:p>
        </w:tc>
        <w:tc>
          <w:tcPr>
            <w:tcW w:type="dxa" w:w="2436"/>
            <w:shd w:val="clear" w:color="auto" w:fill="0B1F3A"/>
          </w:tcPr>
          <w:p>
            <w:pPr>
              <w:spacing w:after="20"/>
            </w:pPr>
            <w:r/>
            <w:r>
              <w:rPr>
                <w:rFonts w:ascii="Poppins" w:hAnsi="Poppins" w:cs="Poppins" w:eastAsia="Poppins"/>
                <w:b/>
                <w:color w:val="FFFFFF"/>
                <w:sz w:val="19"/>
              </w:rPr>
              <w:t>APA estudiante</w:t>
            </w:r>
          </w:p>
        </w:tc>
        <w:tc>
          <w:tcPr>
            <w:tcW w:type="dxa" w:w="2436"/>
            <w:shd w:val="clear" w:color="auto" w:fill="0B1F3A"/>
          </w:tcPr>
          <w:p>
            <w:pPr>
              <w:spacing w:after="20"/>
            </w:pPr>
            <w:r/>
            <w:r>
              <w:rPr>
                <w:rFonts w:ascii="Poppins" w:hAnsi="Poppins" w:cs="Poppins" w:eastAsia="Poppins"/>
                <w:b/>
                <w:color w:val="FFFFFF"/>
                <w:sz w:val="19"/>
              </w:rPr>
              <w:t>Valor por defecto aquí</w:t>
            </w:r>
          </w:p>
        </w:tc>
      </w:tr>
      <w:tr>
        <w:tc>
          <w:tcPr>
            <w:tcW w:type="dxa" w:w="2436"/>
          </w:tcPr>
          <w:p>
            <w:pPr>
              <w:spacing w:after="20"/>
            </w:pPr>
            <w:r>
              <w:rPr>
                <w:sz w:val="19"/>
              </w:rPr>
            </w:r>
            <w:r>
              <w:rPr>
                <w:sz w:val="19"/>
              </w:rPr>
              <w:t>Papel</w:t>
            </w:r>
          </w:p>
        </w:tc>
        <w:tc>
          <w:tcPr>
            <w:tcW w:type="dxa" w:w="2436"/>
          </w:tcPr>
          <w:p>
            <w:pPr>
              <w:spacing w:after="20"/>
            </w:pPr>
            <w:r>
              <w:rPr>
                <w:sz w:val="19"/>
              </w:rPr>
            </w:r>
            <w:r>
              <w:rPr>
                <w:sz w:val="19"/>
              </w:rPr>
              <w:t>A4</w:t>
            </w:r>
          </w:p>
        </w:tc>
        <w:tc>
          <w:tcPr>
            <w:tcW w:type="dxa" w:w="2436"/>
          </w:tcPr>
          <w:p>
            <w:pPr>
              <w:spacing w:after="20"/>
            </w:pPr>
            <w:r>
              <w:rPr>
                <w:sz w:val="19"/>
              </w:rPr>
            </w:r>
            <w:r>
              <w:rPr>
                <w:sz w:val="19"/>
              </w:rPr>
              <w:t>Carta</w:t>
            </w:r>
          </w:p>
        </w:tc>
        <w:tc>
          <w:tcPr>
            <w:tcW w:type="dxa" w:w="2436"/>
          </w:tcPr>
          <w:p>
            <w:pPr>
              <w:spacing w:after="20"/>
            </w:pPr>
            <w:r>
              <w:rPr>
                <w:sz w:val="19"/>
              </w:rPr>
            </w:r>
            <w:r>
              <w:rPr>
                <w:b/>
                <w:sz w:val="19"/>
              </w:rPr>
              <w:t>A4</w:t>
            </w:r>
            <w:r>
              <w:rPr>
                <w:sz w:val="19"/>
              </w:rPr>
              <w:t xml:space="preserve"> [DECIDIR-TUTORA]</w:t>
            </w:r>
          </w:p>
        </w:tc>
      </w:tr>
      <w:tr>
        <w:tc>
          <w:tcPr>
            <w:tcW w:type="dxa" w:w="2436"/>
            <w:shd w:val="clear" w:color="auto" w:fill="EEF2F7"/>
          </w:tcPr>
          <w:p>
            <w:pPr>
              <w:spacing w:after="20"/>
            </w:pPr>
            <w:r>
              <w:rPr>
                <w:sz w:val="19"/>
              </w:rPr>
            </w:r>
            <w:r>
              <w:rPr>
                <w:sz w:val="19"/>
              </w:rPr>
              <w:t>Márgenes</w:t>
            </w:r>
          </w:p>
        </w:tc>
        <w:tc>
          <w:tcPr>
            <w:tcW w:type="dxa" w:w="2436"/>
            <w:shd w:val="clear" w:color="auto" w:fill="EEF2F7"/>
          </w:tcPr>
          <w:p>
            <w:pPr>
              <w:spacing w:after="20"/>
            </w:pPr>
            <w:r>
              <w:rPr>
                <w:sz w:val="19"/>
              </w:rPr>
            </w:r>
            <w:r>
              <w:rPr>
                <w:sz w:val="19"/>
              </w:rPr>
              <w:t>2,54 cm</w:t>
            </w:r>
          </w:p>
        </w:tc>
        <w:tc>
          <w:tcPr>
            <w:tcW w:type="dxa" w:w="2436"/>
            <w:shd w:val="clear" w:color="auto" w:fill="EEF2F7"/>
          </w:tcPr>
          <w:p>
            <w:pPr>
              <w:spacing w:after="20"/>
            </w:pPr>
            <w:r>
              <w:rPr>
                <w:sz w:val="19"/>
              </w:rPr>
            </w:r>
            <w:r>
              <w:rPr>
                <w:sz w:val="19"/>
              </w:rPr>
              <w:t>2,54 cm</w:t>
            </w:r>
          </w:p>
        </w:tc>
        <w:tc>
          <w:tcPr>
            <w:tcW w:type="dxa" w:w="2436"/>
            <w:shd w:val="clear" w:color="auto" w:fill="EEF2F7"/>
          </w:tcPr>
          <w:p>
            <w:pPr>
              <w:spacing w:after="20"/>
            </w:pPr>
            <w:r>
              <w:rPr>
                <w:sz w:val="19"/>
              </w:rPr>
            </w:r>
            <w:r>
              <w:rPr>
                <w:b/>
                <w:sz w:val="19"/>
              </w:rPr>
              <w:t>2,54 cm</w:t>
            </w:r>
          </w:p>
        </w:tc>
      </w:tr>
      <w:tr>
        <w:tc>
          <w:tcPr>
            <w:tcW w:type="dxa" w:w="2436"/>
          </w:tcPr>
          <w:p>
            <w:pPr>
              <w:spacing w:after="20"/>
            </w:pPr>
            <w:r>
              <w:rPr>
                <w:sz w:val="19"/>
              </w:rPr>
            </w:r>
            <w:r>
              <w:rPr>
                <w:sz w:val="19"/>
              </w:rPr>
              <w:t>Letra</w:t>
            </w:r>
          </w:p>
        </w:tc>
        <w:tc>
          <w:tcPr>
            <w:tcW w:type="dxa" w:w="2436"/>
          </w:tcPr>
          <w:p>
            <w:pPr>
              <w:spacing w:after="20"/>
            </w:pPr>
            <w:r>
              <w:rPr>
                <w:sz w:val="19"/>
              </w:rPr>
            </w:r>
            <w:r>
              <w:rPr>
                <w:sz w:val="19"/>
              </w:rPr>
              <w:t>Times New Roman 12</w:t>
            </w:r>
          </w:p>
        </w:tc>
        <w:tc>
          <w:tcPr>
            <w:tcW w:type="dxa" w:w="2436"/>
          </w:tcPr>
          <w:p>
            <w:pPr>
              <w:spacing w:after="20"/>
            </w:pPr>
            <w:r>
              <w:rPr>
                <w:sz w:val="19"/>
              </w:rPr>
            </w:r>
            <w:r>
              <w:rPr>
                <w:sz w:val="19"/>
              </w:rPr>
              <w:t>TNR 12, Calibri 11, Arial 11, etc.</w:t>
            </w:r>
          </w:p>
        </w:tc>
        <w:tc>
          <w:tcPr>
            <w:tcW w:type="dxa" w:w="2436"/>
          </w:tcPr>
          <w:p>
            <w:pPr>
              <w:spacing w:after="20"/>
            </w:pPr>
            <w:r>
              <w:rPr>
                <w:sz w:val="19"/>
              </w:rPr>
            </w:r>
            <w:r>
              <w:rPr>
                <w:b/>
                <w:sz w:val="19"/>
              </w:rPr>
              <w:t>Times New Roman 12</w:t>
            </w:r>
          </w:p>
        </w:tc>
      </w:tr>
      <w:tr>
        <w:tc>
          <w:tcPr>
            <w:tcW w:type="dxa" w:w="2436"/>
            <w:shd w:val="clear" w:color="auto" w:fill="EEF2F7"/>
          </w:tcPr>
          <w:p>
            <w:pPr>
              <w:spacing w:after="20"/>
            </w:pPr>
            <w:r>
              <w:rPr>
                <w:sz w:val="19"/>
              </w:rPr>
            </w:r>
            <w:r>
              <w:rPr>
                <w:sz w:val="19"/>
              </w:rPr>
              <w:t>Interlineado</w:t>
            </w:r>
          </w:p>
        </w:tc>
        <w:tc>
          <w:tcPr>
            <w:tcW w:type="dxa" w:w="2436"/>
            <w:shd w:val="clear" w:color="auto" w:fill="EEF2F7"/>
          </w:tcPr>
          <w:p>
            <w:pPr>
              <w:spacing w:after="20"/>
            </w:pPr>
            <w:r>
              <w:rPr>
                <w:sz w:val="19"/>
              </w:rPr>
            </w:r>
            <w:r>
              <w:rPr>
                <w:sz w:val="19"/>
              </w:rPr>
              <w:t>≈ 1,5</w:t>
            </w:r>
          </w:p>
        </w:tc>
        <w:tc>
          <w:tcPr>
            <w:tcW w:type="dxa" w:w="2436"/>
            <w:shd w:val="clear" w:color="auto" w:fill="EEF2F7"/>
          </w:tcPr>
          <w:p>
            <w:pPr>
              <w:spacing w:after="20"/>
            </w:pPr>
            <w:r>
              <w:rPr>
                <w:sz w:val="19"/>
              </w:rPr>
            </w:r>
            <w:r>
              <w:rPr>
                <w:sz w:val="19"/>
              </w:rPr>
              <w:t>Doble</w:t>
            </w:r>
          </w:p>
        </w:tc>
        <w:tc>
          <w:tcPr>
            <w:tcW w:type="dxa" w:w="2436"/>
            <w:shd w:val="clear" w:color="auto" w:fill="EEF2F7"/>
          </w:tcPr>
          <w:p>
            <w:pPr>
              <w:spacing w:after="20"/>
            </w:pPr>
            <w:r>
              <w:rPr>
                <w:sz w:val="19"/>
              </w:rPr>
            </w:r>
            <w:r>
              <w:rPr>
                <w:b/>
                <w:sz w:val="19"/>
              </w:rPr>
              <w:t>1,5</w:t>
            </w:r>
            <w:r>
              <w:rPr>
                <w:sz w:val="19"/>
              </w:rPr>
              <w:t xml:space="preserve"> [DECIDIR-TUTORA]</w:t>
            </w:r>
          </w:p>
        </w:tc>
      </w:tr>
      <w:tr>
        <w:tc>
          <w:tcPr>
            <w:tcW w:type="dxa" w:w="2436"/>
          </w:tcPr>
          <w:p>
            <w:pPr>
              <w:spacing w:after="20"/>
            </w:pPr>
            <w:r>
              <w:rPr>
                <w:sz w:val="19"/>
              </w:rPr>
            </w:r>
            <w:r>
              <w:rPr>
                <w:sz w:val="19"/>
              </w:rPr>
              <w:t>Alineación</w:t>
            </w:r>
          </w:p>
        </w:tc>
        <w:tc>
          <w:tcPr>
            <w:tcW w:type="dxa" w:w="2436"/>
          </w:tcPr>
          <w:p>
            <w:pPr>
              <w:spacing w:after="20"/>
            </w:pPr>
            <w:r>
              <w:rPr>
                <w:sz w:val="19"/>
              </w:rPr>
            </w:r>
            <w:r>
              <w:rPr>
                <w:sz w:val="19"/>
              </w:rPr>
              <w:t>Justificado (habitual)</w:t>
            </w:r>
          </w:p>
        </w:tc>
        <w:tc>
          <w:tcPr>
            <w:tcW w:type="dxa" w:w="2436"/>
          </w:tcPr>
          <w:p>
            <w:pPr>
              <w:spacing w:after="20"/>
            </w:pPr>
            <w:r>
              <w:rPr>
                <w:sz w:val="19"/>
              </w:rPr>
            </w:r>
            <w:r>
              <w:rPr>
                <w:sz w:val="19"/>
              </w:rPr>
              <w:t>A la izquierda</w:t>
            </w:r>
          </w:p>
        </w:tc>
        <w:tc>
          <w:tcPr>
            <w:tcW w:type="dxa" w:w="2436"/>
          </w:tcPr>
          <w:p>
            <w:pPr>
              <w:spacing w:after="20"/>
            </w:pPr>
            <w:r>
              <w:rPr>
                <w:sz w:val="19"/>
              </w:rPr>
            </w:r>
            <w:r>
              <w:rPr>
                <w:sz w:val="19"/>
              </w:rPr>
              <w:t>[DECIDIR-TUTORA]</w:t>
            </w:r>
          </w:p>
        </w:tc>
      </w:tr>
      <w:tr>
        <w:tc>
          <w:tcPr>
            <w:tcW w:type="dxa" w:w="2436"/>
            <w:shd w:val="clear" w:color="auto" w:fill="EEF2F7"/>
          </w:tcPr>
          <w:p>
            <w:pPr>
              <w:spacing w:after="20"/>
            </w:pPr>
            <w:r>
              <w:rPr>
                <w:sz w:val="19"/>
              </w:rPr>
            </w:r>
            <w:r>
              <w:rPr>
                <w:sz w:val="19"/>
              </w:rPr>
              <w:t>Sangría</w:t>
            </w:r>
          </w:p>
        </w:tc>
        <w:tc>
          <w:tcPr>
            <w:tcW w:type="dxa" w:w="2436"/>
            <w:shd w:val="clear" w:color="auto" w:fill="EEF2F7"/>
          </w:tcPr>
          <w:p>
            <w:pPr>
              <w:spacing w:after="20"/>
            </w:pPr>
            <w:r>
              <w:rPr>
                <w:sz w:val="19"/>
              </w:rPr>
            </w:r>
            <w:r>
              <w:rPr>
                <w:sz w:val="19"/>
              </w:rPr>
              <w:t>—</w:t>
            </w:r>
          </w:p>
        </w:tc>
        <w:tc>
          <w:tcPr>
            <w:tcW w:type="dxa" w:w="2436"/>
            <w:shd w:val="clear" w:color="auto" w:fill="EEF2F7"/>
          </w:tcPr>
          <w:p>
            <w:pPr>
              <w:spacing w:after="20"/>
            </w:pPr>
            <w:r>
              <w:rPr>
                <w:sz w:val="19"/>
              </w:rPr>
            </w:r>
            <w:r>
              <w:rPr>
                <w:sz w:val="19"/>
              </w:rPr>
              <w:t>1,27 cm en la primera línea</w:t>
            </w:r>
          </w:p>
        </w:tc>
        <w:tc>
          <w:tcPr>
            <w:tcW w:type="dxa" w:w="2436"/>
            <w:shd w:val="clear" w:color="auto" w:fill="EEF2F7"/>
          </w:tcPr>
          <w:p>
            <w:pPr>
              <w:spacing w:after="20"/>
            </w:pPr>
            <w:r>
              <w:rPr>
                <w:sz w:val="19"/>
              </w:rPr>
            </w:r>
            <w:r>
              <w:rPr>
                <w:b/>
                <w:sz w:val="19"/>
              </w:rPr>
              <w:t>1,27 cm</w:t>
            </w:r>
          </w:p>
        </w:tc>
      </w:tr>
      <w:tr>
        <w:tc>
          <w:tcPr>
            <w:tcW w:type="dxa" w:w="2436"/>
          </w:tcPr>
          <w:p>
            <w:pPr>
              <w:spacing w:after="20"/>
            </w:pPr>
            <w:r>
              <w:rPr>
                <w:sz w:val="19"/>
              </w:rPr>
            </w:r>
            <w:r>
              <w:rPr>
                <w:sz w:val="19"/>
              </w:rPr>
              <w:t>Títulos</w:t>
            </w:r>
          </w:p>
        </w:tc>
        <w:tc>
          <w:tcPr>
            <w:tcW w:type="dxa" w:w="2436"/>
          </w:tcPr>
          <w:p>
            <w:pPr>
              <w:spacing w:after="20"/>
            </w:pPr>
            <w:r>
              <w:rPr>
                <w:sz w:val="19"/>
              </w:rPr>
            </w:r>
            <w:r>
              <w:rPr>
                <w:sz w:val="19"/>
              </w:rPr>
              <w:t>«CAPÍTULO I: …» + 1.1, 1.1.1</w:t>
            </w:r>
          </w:p>
        </w:tc>
        <w:tc>
          <w:tcPr>
            <w:tcW w:type="dxa" w:w="2436"/>
          </w:tcPr>
          <w:p>
            <w:pPr>
              <w:spacing w:after="20"/>
            </w:pPr>
            <w:r>
              <w:rPr>
                <w:sz w:val="19"/>
              </w:rPr>
            </w:r>
            <w:r>
              <w:rPr>
                <w:sz w:val="19"/>
              </w:rPr>
              <w:t>Sin números, 5 niveles</w:t>
            </w:r>
          </w:p>
        </w:tc>
        <w:tc>
          <w:tcPr>
            <w:tcW w:type="dxa" w:w="2436"/>
          </w:tcPr>
          <w:p>
            <w:pPr>
              <w:spacing w:after="20"/>
            </w:pPr>
            <w:r>
              <w:rPr>
                <w:sz w:val="19"/>
              </w:rPr>
            </w:r>
            <w:r>
              <w:rPr>
                <w:b/>
                <w:sz w:val="19"/>
              </w:rPr>
              <w:t>Numerados como la UPS</w:t>
            </w:r>
          </w:p>
        </w:tc>
      </w:tr>
      <w:tr>
        <w:tc>
          <w:tcPr>
            <w:tcW w:type="dxa" w:w="2436"/>
            <w:shd w:val="clear" w:color="auto" w:fill="EEF2F7"/>
          </w:tcPr>
          <w:p>
            <w:pPr>
              <w:spacing w:after="20"/>
            </w:pPr>
            <w:r>
              <w:rPr>
                <w:sz w:val="19"/>
              </w:rPr>
            </w:r>
            <w:r>
              <w:rPr>
                <w:sz w:val="19"/>
              </w:rPr>
              <w:t>Paginación</w:t>
            </w:r>
          </w:p>
        </w:tc>
        <w:tc>
          <w:tcPr>
            <w:tcW w:type="dxa" w:w="2436"/>
            <w:shd w:val="clear" w:color="auto" w:fill="EEF2F7"/>
          </w:tcPr>
          <w:p>
            <w:pPr>
              <w:spacing w:after="20"/>
            </w:pPr>
            <w:r>
              <w:rPr>
                <w:sz w:val="19"/>
              </w:rPr>
            </w:r>
            <w:r>
              <w:rPr>
                <w:sz w:val="19"/>
              </w:rPr>
              <w:t>Romana en los preliminares (tesis 2024)</w:t>
            </w:r>
          </w:p>
        </w:tc>
        <w:tc>
          <w:tcPr>
            <w:tcW w:type="dxa" w:w="2436"/>
            <w:shd w:val="clear" w:color="auto" w:fill="EEF2F7"/>
          </w:tcPr>
          <w:p>
            <w:pPr>
              <w:spacing w:after="20"/>
            </w:pPr>
            <w:r>
              <w:rPr>
                <w:sz w:val="19"/>
              </w:rPr>
            </w:r>
            <w:r>
              <w:rPr>
                <w:sz w:val="19"/>
              </w:rPr>
              <w:t>Arábiga desde la portada</w:t>
            </w:r>
          </w:p>
        </w:tc>
        <w:tc>
          <w:tcPr>
            <w:tcW w:type="dxa" w:w="2436"/>
            <w:shd w:val="clear" w:color="auto" w:fill="EEF2F7"/>
          </w:tcPr>
          <w:p>
            <w:pPr>
              <w:spacing w:after="20"/>
            </w:pPr>
            <w:r>
              <w:rPr>
                <w:sz w:val="19"/>
              </w:rPr>
            </w:r>
            <w:r>
              <w:rPr>
                <w:sz w:val="19"/>
              </w:rPr>
              <w:t>Romana en preliminares, arábiga desde la Introducción</w:t>
            </w:r>
          </w:p>
        </w:tc>
      </w:tr>
      <w:tr>
        <w:tc>
          <w:tcPr>
            <w:tcW w:type="dxa" w:w="2436"/>
          </w:tcPr>
          <w:p>
            <w:pPr>
              <w:spacing w:after="20"/>
            </w:pPr>
            <w:r>
              <w:rPr>
                <w:sz w:val="19"/>
              </w:rPr>
            </w:r>
            <w:r>
              <w:rPr>
                <w:sz w:val="19"/>
              </w:rPr>
              <w:t>Tablas y figuras</w:t>
            </w:r>
          </w:p>
        </w:tc>
        <w:tc>
          <w:tcPr>
            <w:tcW w:type="dxa" w:w="2436"/>
          </w:tcPr>
          <w:p>
            <w:pPr>
              <w:spacing w:after="20"/>
            </w:pPr>
            <w:r>
              <w:rPr>
                <w:sz w:val="19"/>
              </w:rPr>
            </w:r>
            <w:r>
              <w:rPr>
                <w:sz w:val="19"/>
              </w:rPr>
              <w:t>«Tabla 1 Título»</w:t>
            </w:r>
          </w:p>
        </w:tc>
        <w:tc>
          <w:tcPr>
            <w:tcW w:type="dxa" w:w="2436"/>
          </w:tcPr>
          <w:p>
            <w:pPr>
              <w:spacing w:after="20"/>
            </w:pPr>
            <w:r>
              <w:rPr>
                <w:sz w:val="19"/>
              </w:rPr>
            </w:r>
            <w:r>
              <w:rPr>
                <w:sz w:val="19"/>
              </w:rPr>
              <w:t>Número en negrita y título en cursiva</w:t>
            </w:r>
          </w:p>
        </w:tc>
        <w:tc>
          <w:tcPr>
            <w:tcW w:type="dxa" w:w="2436"/>
          </w:tcPr>
          <w:p>
            <w:pPr>
              <w:spacing w:after="20"/>
            </w:pPr>
            <w:r>
              <w:rPr>
                <w:sz w:val="19"/>
              </w:rPr>
            </w:r>
            <w:r>
              <w:rPr>
                <w:b/>
                <w:sz w:val="19"/>
              </w:rPr>
              <w:t>APA</w:t>
            </w:r>
          </w:p>
        </w:tc>
      </w:tr>
    </w:tbl>
    <w:p/>
    <w:p>
      <w:r>
        <w:rPr>
          <w:b/>
        </w:rPr>
        <w:t>Herramienta:</w:t>
      </w:r>
      <w:r>
        <w:rPr/>
        <w:t xml:space="preserve"> </w:t>
      </w:r>
      <w:r>
        <w:rPr>
          <w:rFonts w:ascii="Consolas" w:hAnsi="Consolas" w:cs="Consolas" w:eastAsia="Consolas"/>
          <w:color w:val="0B1F3A"/>
          <w:sz w:val="19"/>
        </w:rPr>
        <w:t>99_Scripts/gestion/estilo_docx.py</w:t>
      </w:r>
      <w:r>
        <w:rPr/>
        <w:t xml:space="preserve"> está hecho para los </w:t>
      </w:r>
      <w:r>
        <w:rPr>
          <w:b/>
        </w:rPr>
        <w:t>documentos de trabajo</w:t>
      </w:r>
      <w:r>
        <w:rPr/>
        <w:t xml:space="preserve"> (con colores) y </w:t>
      </w:r>
      <w:r>
        <w:rPr>
          <w:b/>
        </w:rPr>
        <w:t>no</w:t>
      </w:r>
      <w:r>
        <w:rPr/>
        <w:t xml:space="preserve"> para la tesis. Para la tesis hace falta una plantilla Word UPS. </w:t>
      </w:r>
      <w:r>
        <w:rPr>
          <w:b/>
        </w:rPr>
        <w:t>Propuesta, que requiere el OK de Víctor</w:t>
      </w:r>
      <w:r>
        <w:rPr/>
        <w:t xml:space="preserve"> porque la infraestructura está congelada: crear </w:t>
      </w:r>
      <w:r>
        <w:rPr>
          <w:rFonts w:ascii="Consolas" w:hAnsi="Consolas" w:cs="Consolas" w:eastAsia="Consolas"/>
          <w:color w:val="0B1F3A"/>
          <w:sz w:val="19"/>
        </w:rPr>
        <w:t>plantilla_tesis.docx</w:t>
      </w:r>
      <w:r>
        <w:rPr/>
        <w:t xml:space="preserve"> con estos valores cuando la tutora los confirme.</w:t>
      </w:r>
    </w:p>
    <w:p>
      <w:r>
        <w:rPr/>
        <w:t>---</w:t>
      </w:r>
    </w:p>
    <w:p>
      <w:pPr>
        <w:pStyle w:val="Heading1"/>
        <w:pBdr>
          <w:bottom w:val="single" w:sz="10" w:space="4" w:color="B87333"/>
        </w:pBdr>
      </w:pPr>
      <w:r>
        <w:t>10. Declaración de uso de IA</w:t>
      </w:r>
    </w:p>
    <w:p>
      <w:r>
        <w:rPr/>
        <w:t>Hay dos capas. Las dos se preparan.</w:t>
      </w:r>
    </w:p>
    <w:p>
      <w:pPr>
        <w:pStyle w:val="ListNumber"/>
      </w:pPr>
      <w:r>
        <w:rPr>
          <w:b/>
        </w:rPr>
        <w:t>UPS:</w:t>
      </w:r>
      <w:r>
        <w:rPr/>
        <w:t xml:space="preserve"> el certificado de responsabilidad y autoría de 2026 trae la frase de uso de IA (§2.1). </w:t>
      </w:r>
      <w:r>
        <w:rPr>
          <w:b/>
        </w:rPr>
        <w:t>Ojo:</w:t>
      </w:r>
      <w:r>
        <w:rPr/>
        <w:t xml:space="preserve"> esa frase dice «solo para mejorar la redacción y puntuación», pero en esta tesis la IA también ayudó a buscar fuentes, planificar y analizar. </w:t>
      </w:r>
      <w:r>
        <w:rPr>
          <w:b/>
        </w:rPr>
        <w:t>No se puede firmar una frase que no es cierta.</w:t>
      </w:r>
      <w:r>
        <w:rPr/>
        <w:t xml:space="preserve"> Se le pregunta a la tutora qué redacción usar [DECIDIR-TUTORA].</w:t>
      </w:r>
    </w:p>
    <w:p>
      <w:pPr>
        <w:pStyle w:val="ListNumber"/>
      </w:pPr>
      <w:r>
        <w:rPr>
          <w:b/>
        </w:rPr>
        <w:t>APA (AI Contribution Statement, guía del 1-sep-2026):</w:t>
      </w:r>
      <w:r>
        <w:rPr/>
        <w:t xml:space="preserve"> es un párrafo que dice:</w:t>
      </w:r>
    </w:p>
    <w:p>
      <w:pPr>
        <w:pStyle w:val="ListBullet"/>
        <w:ind w:left="714"/>
      </w:pPr>
      <w:r>
        <w:rPr>
          <w:b/>
        </w:rPr>
        <w:t>fechas</w:t>
      </w:r>
      <w:r>
        <w:rPr/>
        <w:t xml:space="preserve"> de uso;</w:t>
      </w:r>
    </w:p>
    <w:p>
      <w:pPr>
        <w:pStyle w:val="ListBullet"/>
        <w:ind w:left="714"/>
      </w:pPr>
      <w:r>
        <w:rPr>
          <w:b/>
        </w:rPr>
        <w:t>qué se le pidió</w:t>
      </w:r>
      <w:r>
        <w:rPr/>
        <w:t xml:space="preserve"> a la IA (las instrucciones);</w:t>
      </w:r>
    </w:p>
    <w:p>
      <w:pPr>
        <w:pStyle w:val="ListBullet"/>
        <w:ind w:left="714"/>
      </w:pPr>
      <w:r>
        <w:rPr>
          <w:b/>
        </w:rPr>
        <w:t>en qué secciones</w:t>
      </w:r>
      <w:r>
        <w:rPr/>
        <w:t xml:space="preserve"> se usó;</w:t>
      </w:r>
    </w:p>
    <w:p>
      <w:pPr>
        <w:pStyle w:val="ListBullet"/>
        <w:ind w:left="714"/>
      </w:pPr>
      <w:r>
        <w:rPr>
          <w:b/>
        </w:rPr>
        <w:t>qué ideas salieron</w:t>
      </w:r>
      <w:r>
        <w:rPr/>
        <w:t xml:space="preserve"> de la IA y cómo se incorporaron.</w:t>
      </w:r>
    </w:p>
    <w:p>
      <w:r>
        <w:rPr/>
        <w:t xml:space="preserve">Puede ir en una página propia después de la portada, en el capítulo de metodología o en una nota. La fuente es </w:t>
      </w:r>
      <w:r>
        <w:rPr>
          <w:rFonts w:ascii="Consolas" w:hAnsi="Consolas" w:cs="Consolas" w:eastAsia="Consolas"/>
          <w:color w:val="0B1F3A"/>
          <w:sz w:val="19"/>
        </w:rPr>
        <w:t>09_Registro_Contribuciones/</w:t>
      </w:r>
      <w:r>
        <w:rPr/>
        <w:t xml:space="preserve">: </w:t>
      </w:r>
      <w:r>
        <w:rPr>
          <w:b/>
        </w:rPr>
        <w:t>cada sesión con IA debe dejar su fila</w:t>
      </w:r>
      <w:r>
        <w:rPr/>
        <w:t xml:space="preserve"> (fecha, tarea, sección y qué se usó). Esa es la «bitácora de IA» que recomienda APA.</w:t>
      </w:r>
    </w:p>
    <w:p>
      <w:pPr>
        <w:pStyle w:val="ListNumber"/>
      </w:pPr>
      <w:r>
        <w:rPr>
          <w:b/>
        </w:rPr>
        <w:t>Referencia:</w:t>
      </w:r>
      <w:r>
        <w:rPr/>
        <w:t xml:space="preserve"> Anthropic. (2026). </w:t>
      </w:r>
      <w:r>
        <w:rPr>
          <w:i/>
        </w:rPr>
        <w:t>Claude</w:t>
      </w:r>
      <w:r>
        <w:rPr/>
        <w:t xml:space="preserve"> [Modelo de lenguaje grande]. https://claude.ai. También se incluye cualquier otra herramienta usada.</w:t>
      </w:r>
    </w:p>
    <w:p>
      <w:r>
        <w:rPr/>
        <w:t>---</w:t>
      </w:r>
    </w:p>
    <w:p>
      <w:pPr>
        <w:pStyle w:val="Heading1"/>
        <w:pBdr>
          <w:bottom w:val="single" w:sz="10" w:space="4" w:color="B87333"/>
        </w:pBdr>
      </w:pPr>
      <w:r>
        <w:t>11. Lista de verificación antes de entregar una versión</w:t>
      </w:r>
    </w:p>
    <w:p>
      <w:pPr>
        <w:pStyle w:val="Heading2"/>
      </w:pPr>
      <w:r>
        <w:t>11.1 Contenido</w:t>
      </w:r>
    </w:p>
    <w:p>
      <w:r>
        <w:rPr>
          <w:b/>
          <w:color w:val="555E6B"/>
        </w:rPr>
        <w:t xml:space="preserve">☐ </w:t>
      </w:r>
      <w:r>
        <w:rPr/>
        <w:t>La sección cumple su función de la tabla §2.2 y nombra su objetivo.</w:t>
      </w:r>
    </w:p>
    <w:p>
      <w:r>
        <w:rPr>
          <w:b/>
          <w:color w:val="555E6B"/>
        </w:rPr>
        <w:t xml:space="preserve">☐ </w:t>
      </w:r>
      <w:r>
        <w:rPr/>
        <w:t xml:space="preserve">Toda cifra tiene una cita </w:t>
      </w:r>
      <w:r>
        <w:rPr>
          <w:b/>
        </w:rPr>
        <w:t>verificada</w:t>
      </w:r>
      <w:r>
        <w:rPr/>
        <w:t xml:space="preserve"> (ficha con </w:t>
      </w:r>
      <w:r>
        <w:rPr>
          <w:rFonts w:ascii="Consolas" w:hAnsi="Consolas" w:cs="Consolas" w:eastAsia="Consolas"/>
          <w:color w:val="0B1F3A"/>
          <w:sz w:val="19"/>
        </w:rPr>
        <w:t>estado: verificada</w:t>
      </w:r>
      <w:r>
        <w:rPr/>
        <w:t xml:space="preserve"> y página).</w:t>
      </w:r>
    </w:p>
    <w:p>
      <w:r>
        <w:rPr>
          <w:b/>
          <w:color w:val="555E6B"/>
        </w:rPr>
        <w:t xml:space="preserve">☐ </w:t>
      </w:r>
      <w:r>
        <w:rPr/>
        <w:t>No quedan marcadores sin listar (se reporta su número).</w:t>
      </w:r>
    </w:p>
    <w:p>
      <w:r>
        <w:rPr>
          <w:b/>
          <w:color w:val="555E6B"/>
        </w:rPr>
        <w:t xml:space="preserve">☐ </w:t>
      </w:r>
      <w:r>
        <w:rPr/>
        <w:t>No hay datos simulados; no aparecen «piloto» ni «implementado».</w:t>
      </w:r>
    </w:p>
    <w:p>
      <w:r>
        <w:rPr>
          <w:b/>
          <w:color w:val="555E6B"/>
        </w:rPr>
        <w:t xml:space="preserve">☐ </w:t>
      </w:r>
      <w:r>
        <w:rPr/>
        <w:t>Las fuentes de antes de 2021 solo aparecen como origen y van acompañadas de una fuente de 2021 en adelante.</w:t>
      </w:r>
    </w:p>
    <w:p>
      <w:r>
        <w:rPr>
          <w:b/>
          <w:color w:val="555E6B"/>
        </w:rPr>
        <w:t xml:space="preserve">☐ </w:t>
      </w:r>
      <w:r>
        <w:rPr/>
        <w:t>Las afirmaciones que la evidencia contradice están corregidas, no maquilladas.</w:t>
      </w:r>
    </w:p>
    <w:p>
      <w:pPr>
        <w:pStyle w:val="Heading2"/>
      </w:pPr>
      <w:r>
        <w:t>11.2 Citas y referencias</w:t>
      </w:r>
    </w:p>
    <w:p>
      <w:r>
        <w:rPr>
          <w:b/>
          <w:color w:val="555E6B"/>
        </w:rPr>
        <w:t xml:space="preserve">☐ </w:t>
      </w:r>
      <w:r>
        <w:rPr/>
        <w:t>Cada cita tiene su referencia y viceversa (la IA cruza las dos listas y reporta las diferencias).</w:t>
      </w:r>
    </w:p>
    <w:p>
      <w:r>
        <w:rPr>
          <w:b/>
          <w:color w:val="555E6B"/>
        </w:rPr>
        <w:t xml:space="preserve">☐ </w:t>
      </w:r>
      <w:r>
        <w:rPr/>
        <w:t>Los años y la ortografía de los autores coinciden entre la cita y la referencia.</w:t>
      </w:r>
    </w:p>
    <w:p>
      <w:r>
        <w:rPr>
          <w:b/>
          <w:color w:val="555E6B"/>
        </w:rPr>
        <w:t xml:space="preserve">☐ </w:t>
      </w:r>
      <w:r>
        <w:rPr/>
        <w:t>No aparecen «Recuperado de» ni «Obtenido de»; los DOI van como https://doi.org/.</w:t>
      </w:r>
    </w:p>
    <w:p>
      <w:r>
        <w:rPr>
          <w:b/>
          <w:color w:val="555E6B"/>
        </w:rPr>
        <w:t xml:space="preserve">☐ </w:t>
      </w:r>
      <w:r>
        <w:rPr/>
        <w:t>Tipo oración y cursivas correctas; orden alfabético.</w:t>
      </w:r>
    </w:p>
    <w:p>
      <w:pPr>
        <w:pStyle w:val="Heading2"/>
      </w:pPr>
      <w:r>
        <w:t>11.3 Forma</w:t>
      </w:r>
    </w:p>
    <w:p>
      <w:r>
        <w:rPr>
          <w:b/>
          <w:color w:val="555E6B"/>
        </w:rPr>
        <w:t xml:space="preserve">☐ </w:t>
      </w:r>
      <w:r>
        <w:rPr/>
        <w:t>Tablas y figuras numeradas, mencionadas antes de aparecer, con nota de origen.</w:t>
      </w:r>
    </w:p>
    <w:p>
      <w:r>
        <w:rPr>
          <w:b/>
          <w:color w:val="555E6B"/>
        </w:rPr>
        <w:t xml:space="preserve">☐ </w:t>
      </w:r>
      <w:r>
        <w:rPr/>
        <w:t>Siglas definidas la primera vez.</w:t>
      </w:r>
    </w:p>
    <w:p>
      <w:r>
        <w:rPr>
          <w:b/>
          <w:color w:val="555E6B"/>
        </w:rPr>
        <w:t xml:space="preserve">☐ </w:t>
      </w:r>
      <w:r>
        <w:rPr/>
        <w:t>Los números siguen la regla de §4.</w:t>
      </w:r>
    </w:p>
    <w:p>
      <w:r>
        <w:rPr>
          <w:b/>
          <w:color w:val="555E6B"/>
        </w:rPr>
        <w:t xml:space="preserve">☐ </w:t>
      </w:r>
      <w:r>
        <w:rPr/>
        <w:t>Los títulos siguen la numeración UPS.</w:t>
      </w:r>
    </w:p>
    <w:p>
      <w:pPr>
        <w:pStyle w:val="Heading2"/>
      </w:pPr>
      <w:r>
        <w:t>11.4 Trazabilidad (se mantiene en `03_Matriz_Objetivos/`)</w:t>
      </w:r>
    </w:p>
    <w:tbl>
      <w:tblPr>
        <w:tblStyle w:val="TableGrid"/>
        <w:tblW w:type="auto" w:w="0"/>
        <w:jc w:val="center"/>
        <w:tblLook w:firstColumn="1" w:firstRow="1" w:lastColumn="0" w:lastRow="0" w:noHBand="0" w:noVBand="1" w:val="04A0"/>
        <w:tblBorders>
          <w:top w:val="single" w:sz="4" w:color="B87333"/>
          <w:left w:val="single" w:sz="4" w:color="B87333"/>
          <w:bottom w:val="single" w:sz="4" w:color="B87333"/>
          <w:right w:val="single" w:sz="4" w:color="B87333"/>
          <w:insideH w:val="single" w:sz="4" w:color="C9A27E"/>
          <w:insideV w:val="single" w:sz="4" w:color="C9A27E"/>
        </w:tblBorders>
      </w:tblPr>
      <w:tblGrid>
        <w:gridCol w:w="1949"/>
        <w:gridCol w:w="1949"/>
        <w:gridCol w:w="1949"/>
        <w:gridCol w:w="1949"/>
        <w:gridCol w:w="1949"/>
      </w:tblGrid>
      <w:tr>
        <w:tc>
          <w:tcPr>
            <w:tcW w:type="dxa" w:w="1949"/>
            <w:shd w:val="clear" w:color="auto" w:fill="0B1F3A"/>
          </w:tcPr>
          <w:p>
            <w:pPr>
              <w:spacing w:after="20"/>
            </w:pPr>
            <w:r/>
            <w:r>
              <w:rPr>
                <w:rFonts w:ascii="Poppins" w:hAnsi="Poppins" w:cs="Poppins" w:eastAsia="Poppins"/>
                <w:b/>
                <w:color w:val="FFFFFF"/>
                <w:sz w:val="19"/>
              </w:rPr>
              <w:t>Objetivo específico</w:t>
            </w:r>
          </w:p>
        </w:tc>
        <w:tc>
          <w:tcPr>
            <w:tcW w:type="dxa" w:w="1949"/>
            <w:shd w:val="clear" w:color="auto" w:fill="0B1F3A"/>
          </w:tcPr>
          <w:p>
            <w:pPr>
              <w:spacing w:after="20"/>
            </w:pPr>
            <w:r/>
            <w:r>
              <w:rPr>
                <w:rFonts w:ascii="Poppins" w:hAnsi="Poppins" w:cs="Poppins" w:eastAsia="Poppins"/>
                <w:b/>
                <w:color w:val="FFFFFF"/>
                <w:sz w:val="19"/>
              </w:rPr>
              <w:t>Método (Cap. III)</w:t>
            </w:r>
          </w:p>
        </w:tc>
        <w:tc>
          <w:tcPr>
            <w:tcW w:type="dxa" w:w="1949"/>
            <w:shd w:val="clear" w:color="auto" w:fill="0B1F3A"/>
          </w:tcPr>
          <w:p>
            <w:pPr>
              <w:spacing w:after="20"/>
            </w:pPr>
            <w:r/>
            <w:r>
              <w:rPr>
                <w:rFonts w:ascii="Poppins" w:hAnsi="Poppins" w:cs="Poppins" w:eastAsia="Poppins"/>
                <w:b/>
                <w:color w:val="FFFFFF"/>
                <w:sz w:val="19"/>
              </w:rPr>
              <w:t>Resultado (Cap. IV–VI)</w:t>
            </w:r>
          </w:p>
        </w:tc>
        <w:tc>
          <w:tcPr>
            <w:tcW w:type="dxa" w:w="1949"/>
            <w:shd w:val="clear" w:color="auto" w:fill="0B1F3A"/>
          </w:tcPr>
          <w:p>
            <w:pPr>
              <w:spacing w:after="20"/>
            </w:pPr>
            <w:r/>
            <w:r>
              <w:rPr>
                <w:rFonts w:ascii="Poppins" w:hAnsi="Poppins" w:cs="Poppins" w:eastAsia="Poppins"/>
                <w:b/>
                <w:color w:val="FFFFFF"/>
                <w:sz w:val="19"/>
              </w:rPr>
              <w:t>Conclusión</w:t>
            </w:r>
          </w:p>
        </w:tc>
        <w:tc>
          <w:tcPr>
            <w:tcW w:type="dxa" w:w="1949"/>
            <w:shd w:val="clear" w:color="auto" w:fill="0B1F3A"/>
          </w:tcPr>
          <w:p>
            <w:pPr>
              <w:spacing w:after="20"/>
            </w:pPr>
            <w:r/>
            <w:r>
              <w:rPr>
                <w:rFonts w:ascii="Poppins" w:hAnsi="Poppins" w:cs="Poppins" w:eastAsia="Poppins"/>
                <w:b/>
                <w:color w:val="FFFFFF"/>
                <w:sz w:val="19"/>
              </w:rPr>
              <w:t>Meta M</w:t>
            </w:r>
          </w:p>
        </w:tc>
      </w:tr>
      <w:tr>
        <w:tc>
          <w:tcPr>
            <w:tcW w:type="dxa" w:w="1949"/>
          </w:tcPr>
          <w:p>
            <w:pPr>
              <w:spacing w:after="20"/>
            </w:pPr>
            <w:r>
              <w:rPr>
                <w:sz w:val="19"/>
              </w:rPr>
            </w:r>
            <w:r>
              <w:rPr>
                <w:sz w:val="19"/>
              </w:rPr>
              <w:t>OE1 …</w:t>
            </w:r>
          </w:p>
        </w:tc>
        <w:tc>
          <w:tcPr>
            <w:tcW w:type="dxa" w:w="1949"/>
          </w:tcPr>
          <w:p>
            <w:pPr>
              <w:spacing w:after="20"/>
            </w:pPr>
            <w:r>
              <w:rPr>
                <w:sz w:val="19"/>
              </w:rPr>
            </w:r>
            <w:r>
              <w:rPr>
                <w:sz w:val="19"/>
              </w:rPr>
              <w:t>…</w:t>
            </w:r>
          </w:p>
        </w:tc>
        <w:tc>
          <w:tcPr>
            <w:tcW w:type="dxa" w:w="1949"/>
          </w:tcPr>
          <w:p>
            <w:pPr>
              <w:spacing w:after="20"/>
            </w:pPr>
            <w:r>
              <w:rPr>
                <w:sz w:val="19"/>
              </w:rPr>
            </w:r>
            <w:r>
              <w:rPr>
                <w:sz w:val="19"/>
              </w:rPr>
              <w:t>…</w:t>
            </w:r>
          </w:p>
        </w:tc>
        <w:tc>
          <w:tcPr>
            <w:tcW w:type="dxa" w:w="1949"/>
          </w:tcPr>
          <w:p>
            <w:pPr>
              <w:spacing w:after="20"/>
            </w:pPr>
            <w:r>
              <w:rPr>
                <w:sz w:val="19"/>
              </w:rPr>
            </w:r>
            <w:r>
              <w:rPr>
                <w:sz w:val="19"/>
              </w:rPr>
              <w:t>…</w:t>
            </w:r>
          </w:p>
        </w:tc>
        <w:tc>
          <w:tcPr>
            <w:tcW w:type="dxa" w:w="1949"/>
          </w:tcPr>
          <w:p>
            <w:pPr>
              <w:spacing w:after="20"/>
            </w:pPr>
            <w:r>
              <w:rPr>
                <w:sz w:val="19"/>
              </w:rPr>
            </w:r>
            <w:r>
              <w:rPr>
                <w:sz w:val="19"/>
              </w:rPr>
              <w:t>…</w:t>
            </w:r>
          </w:p>
        </w:tc>
      </w:tr>
    </w:tbl>
    <w:p/>
    <w:p>
      <w:r>
        <w:rPr/>
        <w:t>---</w:t>
      </w:r>
    </w:p>
    <w:p>
      <w:pPr>
        <w:pStyle w:val="Heading1"/>
        <w:pBdr>
          <w:bottom w:val="single" w:sz="10" w:space="4" w:color="B87333"/>
        </w:pBdr>
      </w:pPr>
      <w:r>
        <w:t>12. Decisiones pendientes (se llevan a la tutora)</w:t>
      </w:r>
    </w:p>
    <w:p>
      <w:pPr>
        <w:pStyle w:val="ListNumber"/>
      </w:pPr>
      <w:r>
        <w:rPr/>
        <w:t xml:space="preserve">¿Hay un </w:t>
      </w:r>
      <w:r>
        <w:rPr>
          <w:b/>
        </w:rPr>
        <w:t>instructivo o plantilla oficial UPS vigente</w:t>
      </w:r>
      <w:r>
        <w:rPr/>
        <w:t xml:space="preserve"> para el Proyecto Técnico de Negocios Digitales? (No es público; pedirlo a la tutora o a la coordinación.)</w:t>
      </w:r>
    </w:p>
    <w:p>
      <w:pPr>
        <w:pStyle w:val="ListNumber"/>
      </w:pPr>
      <w:r>
        <w:rPr/>
        <w:t>Papel A4 o carta; interlineado 1,5 o doble; justificado o alineado a la izquierda.</w:t>
      </w:r>
    </w:p>
    <w:p>
      <w:pPr>
        <w:pStyle w:val="ListNumber"/>
      </w:pPr>
      <w:r>
        <w:rPr/>
        <w:t>«y» o «&amp;» en las citas y referencias; comillas « » o “ ”.</w:t>
      </w:r>
    </w:p>
    <w:p>
      <w:pPr>
        <w:pStyle w:val="ListNumber"/>
      </w:pPr>
      <w:r>
        <w:rPr/>
        <w:t>Primera persona del plural o forma impersonal.</w:t>
      </w:r>
    </w:p>
    <w:p>
      <w:pPr>
        <w:pStyle w:val="ListNumber"/>
      </w:pPr>
      <w:r>
        <w:rPr/>
        <w:t>Extensión máxima del resumen y del abstract (¿350 palabras?) y número de palabras clave.</w:t>
      </w:r>
    </w:p>
    <w:p>
      <w:pPr>
        <w:pStyle w:val="ListNumber"/>
      </w:pPr>
      <w:r>
        <w:rPr/>
        <w:t xml:space="preserve">Redacción exacta de la </w:t>
      </w:r>
      <w:r>
        <w:rPr>
          <w:b/>
        </w:rPr>
        <w:t>declaración de uso de IA</w:t>
      </w:r>
      <w:r>
        <w:rPr/>
        <w:t xml:space="preserve"> en el certificado (§10) y si piden además el </w:t>
      </w:r>
      <w:r>
        <w:rPr>
          <w:i/>
        </w:rPr>
        <w:t>AI Contribution Statement</w:t>
      </w:r>
      <w:r>
        <w:rPr/>
        <w:t>.</w:t>
      </w:r>
    </w:p>
    <w:p>
      <w:pPr>
        <w:pStyle w:val="ListNumber"/>
      </w:pPr>
      <w:r>
        <w:rPr/>
        <w:t>Si «Referencias» o «Bibliografía»; si las conclusiones van separadas de las recomendaciones.</w:t>
      </w:r>
    </w:p>
    <w:p>
      <w:r>
        <w:rPr/>
        <w:t xml:space="preserve">Cuando la tutora decida, se actualiza este manual (v0.2) y se borra el </w:t>
      </w:r>
      <w:r>
        <w:rPr>
          <w:rFonts w:ascii="Consolas" w:hAnsi="Consolas" w:cs="Consolas" w:eastAsia="Consolas"/>
          <w:color w:val="0B1F3A"/>
          <w:sz w:val="19"/>
        </w:rPr>
        <w:t>[DECIDIR-TUTORA]</w:t>
      </w:r>
      <w:r>
        <w:rPr/>
        <w:t xml:space="preserve"> correspondiente.</w:t>
      </w:r>
    </w:p>
    <w:p>
      <w:r>
        <w:rPr/>
        <w:t>---</w:t>
      </w:r>
    </w:p>
    <w:p>
      <w:pPr>
        <w:pStyle w:val="Heading1"/>
        <w:pBdr>
          <w:bottom w:val="single" w:sz="10" w:space="4" w:color="B87333"/>
        </w:pBdr>
      </w:pPr>
      <w:r>
        <w:t>13. De dónde sale este manual (no se cita en la tesis)</w:t>
      </w:r>
    </w:p>
    <w:p>
      <w:pPr>
        <w:pStyle w:val="ListBullet"/>
      </w:pPr>
      <w:r>
        <w:rPr/>
        <w:t xml:space="preserve">American Psychological Association (2021). </w:t>
      </w:r>
      <w:r>
        <w:rPr>
          <w:i/>
        </w:rPr>
        <w:t>Publication Manual, 7th Edition: Student paper checklist</w:t>
      </w:r>
      <w:r>
        <w:rPr/>
        <w:t xml:space="preserve"> (PDF oficial, leído el 12-oct-2026).</w:t>
      </w:r>
    </w:p>
    <w:p>
      <w:pPr>
        <w:pStyle w:val="ListBullet"/>
      </w:pPr>
      <w:r>
        <w:rPr/>
        <w:t xml:space="preserve">American Psychological Association (2022). </w:t>
      </w:r>
      <w:r>
        <w:rPr>
          <w:i/>
        </w:rPr>
        <w:t>Heading levels template: Student paper</w:t>
      </w:r>
      <w:r>
        <w:rPr/>
        <w:t>.</w:t>
      </w:r>
    </w:p>
    <w:p>
      <w:pPr>
        <w:pStyle w:val="ListBullet"/>
      </w:pPr>
      <w:r>
        <w:rPr/>
        <w:t xml:space="preserve">American Psychological Association (2026). </w:t>
      </w:r>
      <w:r>
        <w:rPr>
          <w:i/>
        </w:rPr>
        <w:t>AI contribution statement guide</w:t>
      </w:r>
      <w:r>
        <w:rPr/>
        <w:t xml:space="preserve"> (actualizado el 1-sep-2026).</w:t>
      </w:r>
    </w:p>
    <w:p>
      <w:pPr>
        <w:pStyle w:val="ListBullet"/>
      </w:pPr>
      <w:r>
        <w:rPr/>
        <w:t>APA Style, páginas oficiales consultadas el 12-oct-2026:</w:t>
      </w:r>
    </w:p>
    <w:p>
      <w:pPr>
        <w:pStyle w:val="ListBullet"/>
        <w:ind w:left="714"/>
      </w:pPr>
      <w:r>
        <w:rPr/>
        <w:t>ejemplos de referencia: informe de organismo, página web, YouTube, comunicado de prensa, periódico, tesis publicada, preprint, IA, conjunto de datos y actas de congreso;</w:t>
      </w:r>
    </w:p>
    <w:p>
      <w:pPr>
        <w:pStyle w:val="ListBullet"/>
        <w:ind w:left="714"/>
      </w:pPr>
      <w:r>
        <w:rPr/>
        <w:t>información faltante, fuentes secundarias, comunicaciones personales, citas textuales;</w:t>
      </w:r>
    </w:p>
    <w:p>
      <w:pPr>
        <w:pStyle w:val="ListBullet"/>
        <w:ind w:left="714"/>
      </w:pPr>
      <w:r>
        <w:rPr/>
        <w:t>configuración de tablas y de figuras;</w:t>
      </w:r>
    </w:p>
    <w:p>
      <w:pPr>
        <w:pStyle w:val="ListBullet"/>
        <w:ind w:left="714"/>
      </w:pPr>
      <w:r>
        <w:rPr/>
        <w:t>JARS–Mixed;</w:t>
      </w:r>
    </w:p>
    <w:p>
      <w:pPr>
        <w:pStyle w:val="ListBullet"/>
        <w:ind w:left="714"/>
      </w:pPr>
      <w:r>
        <w:rPr/>
        <w:t>blog «Citing generative AI, Part 3» (9-sep-2025).</w:t>
      </w:r>
    </w:p>
    <w:p>
      <w:pPr>
        <w:pStyle w:val="ListBullet"/>
      </w:pPr>
      <w:r>
        <w:rPr/>
        <w:t xml:space="preserve">Biblioteca UTPL. </w:t>
      </w:r>
      <w:r>
        <w:rPr>
          <w:i/>
        </w:rPr>
        <w:t>Normas APA 7.ª edición</w:t>
      </w:r>
      <w:r>
        <w:rPr/>
        <w:t xml:space="preserve"> (ejemplos de leyes ecuatorianas, pp. 26–27 y 49–50).</w:t>
      </w:r>
    </w:p>
    <w:p>
      <w:pPr>
        <w:pStyle w:val="ListBullet"/>
      </w:pPr>
      <w:r>
        <w:rPr/>
        <w:t>Tesis UPS revisadas como ejemplo de estructura:</w:t>
      </w:r>
    </w:p>
    <w:p>
      <w:pPr>
        <w:pStyle w:val="ListBullet"/>
        <w:ind w:left="714"/>
      </w:pPr>
      <w:r>
        <w:rPr/>
        <w:t>Ordoñez Constante (2026), Negocios Digitales, Quito, TTQ3211 (dspace.ups.edu.ec);</w:t>
      </w:r>
    </w:p>
    <w:p>
      <w:pPr>
        <w:pStyle w:val="ListBullet"/>
        <w:ind w:left="714"/>
      </w:pPr>
      <w:r>
        <w:rPr/>
        <w:t>Carrión Llerena (2024), Computación, Guayaquil, UPS-GT005364.</w:t>
      </w:r>
    </w:p>
    <w:p>
      <w:pPr>
        <w:pStyle w:val="ListBullet"/>
      </w:pPr>
      <w:r>
        <w:rPr/>
        <w:t xml:space="preserve">Peffers et al. (2007) y Gregor y Hevner (2013, </w:t>
      </w:r>
      <w:r>
        <w:rPr>
          <w:i/>
        </w:rPr>
        <w:t>MIS Quarterly, 37</w:t>
      </w:r>
      <w:r>
        <w:rPr/>
        <w:t xml:space="preserve">(2), 337–355) para la estructura DSR. El esquema de Gregor y Hevner se conoce por su resumen; el PDF no se pudo abrir (bloqueo de la editorial). Ambos son candidatos a fuente </w:t>
      </w:r>
      <w:r>
        <w:rPr>
          <w:b/>
        </w:rPr>
        <w:t>citable</w:t>
      </w:r>
      <w:r>
        <w:rPr/>
        <w:t xml:space="preserve"> del Cap. III (prioridad 2 de la fase 1).</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s="Lato" w:eastAsia="Lato"/>
        <w:color w:val="555E6B"/>
        <w:sz w:val="16"/>
      </w:rPr>
      <w:t xml:space="preserve">Manual de redacción de la tesis (para la IA)  ·  Tesis Torvesa · UPS  ·  pág. </w:t>
    </w:r>
    <w:r>
      <w:rPr>
        <w:color w:val="555E6B"/>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Lato" w:hAnsi="Lato" w:eastAsia="Lato"/>
      <w:color w:val="22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Poppins" w:hAnsi="Poppins" w:cs="Poppins"/>
      <w:b/>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Poppins" w:hAnsi="Poppins" w:cs="Poppins"/>
      <w:b/>
      <w:bCs/>
      <w:color w:val="B87333"/>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Poppins" w:hAnsi="Poppins" w:cs="Poppins"/>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