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B1F3A"/>
          </w:tcPr>
          <w:p>
            <w:pPr>
              <w:spacing w:before="200"/>
            </w:pPr>
            <w:r>
              <w:rPr>
                <w:rFonts w:ascii="Poppins" w:hAnsi="Poppins" w:cs="Poppins" w:eastAsia="Poppins"/>
                <w:b/>
                <w:color w:val="B87333"/>
                <w:sz w:val="17"/>
              </w:rPr>
              <w:t>TESIS TORVESA · UPS</w:t>
            </w:r>
          </w:p>
          <w:p>
            <w:r>
              <w:rPr>
                <w:rFonts w:ascii="Poppins" w:hAnsi="Poppins" w:cs="Poppins" w:eastAsia="Poppins"/>
                <w:b/>
                <w:color w:val="FFFFFF"/>
                <w:sz w:val="44"/>
              </w:rPr>
              <w:t>Puntos para hablar con la tutora</w:t>
            </w:r>
          </w:p>
          <w:p>
            <w:r>
              <w:rPr>
                <w:rFonts w:ascii="Lato" w:hAnsi="Lato" w:cs="Lato" w:eastAsia="Lato"/>
                <w:color w:val="E6C3A0"/>
                <w:sz w:val="22"/>
              </w:rPr>
              <w:t>Lunes 12 de octubre de 2026 · en persona · Ing. Tania Chicaiza</w:t>
            </w:r>
          </w:p>
          <w:p>
            <w:pPr>
              <w:spacing w:after="200"/>
            </w:pPr>
            <w:r>
              <w:rPr>
                <w:rFonts w:ascii="Lato" w:hAnsi="Lato" w:cs="Lato" w:eastAsia="Lato"/>
                <w:color w:val="CFD8E3"/>
                <w:sz w:val="18"/>
              </w:rPr>
              <w:t>Víctor Segura · Diego Bermeo</w:t>
            </w:r>
          </w:p>
        </w:tc>
      </w:tr>
    </w:tbl>
    <w:p/>
    <w:p>
      <w:r>
        <w:rPr>
          <w:b/>
          <w:sz w:val="17"/>
        </w:rPr>
        <w:t>Objetivo de la conversación:</w:t>
      </w:r>
      <w:r>
        <w:rPr>
          <w:sz w:val="17"/>
        </w:rPr>
        <w:t xml:space="preserve"> contarle 5 cambios antes de la Revisión 1 (la primera revisión formal, prevista para el 26–30 oct) y llevarnos sus respuestas por escrito en el acta.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397"/>
        <w:gridCol w:w="3005"/>
        <w:gridCol w:w="3572"/>
        <w:gridCol w:w="2438"/>
      </w:tblGrid>
      <w:tr>
        <w:tc>
          <w:tcPr>
            <w:tcW w:type="dxa" w:w="397"/>
            <w:shd w:val="clear" w:color="auto" w:fill="0B1F3A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Poppins" w:hAnsi="Poppins" w:cs="Poppins" w:eastAsia="Poppins"/>
                <w:b/>
                <w:color w:val="FFFFFF"/>
                <w:sz w:val="17"/>
              </w:rPr>
              <w:t>#</w:t>
            </w:r>
          </w:p>
        </w:tc>
        <w:tc>
          <w:tcPr>
            <w:tcW w:type="dxa" w:w="3005"/>
            <w:shd w:val="clear" w:color="auto" w:fill="0B1F3A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Poppins" w:hAnsi="Poppins" w:cs="Poppins" w:eastAsia="Poppins"/>
                <w:b/>
                <w:color w:val="FFFFFF"/>
                <w:sz w:val="17"/>
              </w:rPr>
              <w:t>Qué le contamos</w:t>
            </w:r>
          </w:p>
        </w:tc>
        <w:tc>
          <w:tcPr>
            <w:tcW w:type="dxa" w:w="3572"/>
            <w:shd w:val="clear" w:color="auto" w:fill="0B1F3A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Poppins" w:hAnsi="Poppins" w:cs="Poppins" w:eastAsia="Poppins"/>
                <w:b/>
                <w:color w:val="FFFFFF"/>
                <w:sz w:val="17"/>
              </w:rPr>
              <w:t>Qué le proponemos</w:t>
            </w:r>
          </w:p>
        </w:tc>
        <w:tc>
          <w:tcPr>
            <w:tcW w:type="dxa" w:w="2438"/>
            <w:shd w:val="clear" w:color="auto" w:fill="0B1F3A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rFonts w:ascii="Poppins" w:hAnsi="Poppins" w:cs="Poppins" w:eastAsia="Poppins"/>
                <w:b/>
                <w:color w:val="FFFFFF"/>
                <w:sz w:val="17"/>
              </w:rPr>
              <w:t>Qué necesitamos que decida</w:t>
            </w:r>
          </w:p>
        </w:tc>
      </w:tr>
      <w:tr>
        <w:tc>
          <w:tcPr>
            <w:tcW w:type="dxa" w:w="39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Los datos del diagnóstico (N = 30) eran simulados.</w:t>
            </w:r>
            <w:r>
              <w:rPr>
                <w:sz w:val="17"/>
              </w:rPr>
              <w:t xml:space="preserve"> Eran datos de práctica del proyecto integrador, no respuestas reales de los colaboradores de Torvesa. El diseño aprobado los presenta como reales (13,3 %, 23,3 %, SUS 53,83…)</w:t>
            </w:r>
          </w:p>
        </w:tc>
        <w:tc>
          <w:tcPr>
            <w:tcW w:type="dxa" w:w="357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No usarlos. Levantar una </w:t>
            </w:r>
            <w:r>
              <w:rPr>
                <w:b/>
                <w:sz w:val="17"/>
              </w:rPr>
              <w:t>línea base real</w:t>
            </w:r>
            <w:r>
              <w:rPr>
                <w:sz w:val="17"/>
              </w:rPr>
              <w:t xml:space="preserve"> (la medición del «antes»): encuesta, entrevistas y cronometraje de cotizaciones, con consentimiento informado y prueba de procedencia (fecha, hora y quién aplicó)</w:t>
            </w:r>
          </w:p>
        </w:tc>
        <w:tc>
          <w:tcPr>
            <w:tcW w:type="dxa" w:w="243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¿Está de acuerdo? ¿Hay que informar al Consejo de Carrera o basta con corregirlo en el documento?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3005"/>
            <w:shd w:val="clear" w:color="auto" w:fill="EEF2F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Fecha de entrega.</w:t>
            </w:r>
            <w:r>
              <w:rPr>
                <w:sz w:val="17"/>
              </w:rPr>
              <w:t xml:space="preserve"> El diseño dice «15 de diciembre de 2026»; el período 69 termina en febrero</w:t>
            </w:r>
          </w:p>
        </w:tc>
        <w:tc>
          <w:tcPr>
            <w:tcW w:type="dxa" w:w="3572"/>
            <w:shd w:val="clear" w:color="auto" w:fill="EEF2F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Planificamos con entrega en enero (</w:t>
            </w:r>
            <w:r>
              <w:rPr>
                <w:b/>
                <w:sz w:val="17"/>
              </w:rPr>
              <w:t>escenario B</w:t>
            </w:r>
            <w:r>
              <w:rPr>
                <w:sz w:val="17"/>
              </w:rPr>
              <w:t xml:space="preserve">). Si el 15-dic es obligatorio, tenemos listo el </w:t>
            </w:r>
            <w:r>
              <w:rPr>
                <w:b/>
                <w:sz w:val="17"/>
              </w:rPr>
              <w:t>escenario A</w:t>
            </w:r>
            <w:r>
              <w:rPr>
                <w:sz w:val="17"/>
              </w:rPr>
              <w:t>, más comprimido</w:t>
            </w:r>
          </w:p>
        </w:tc>
        <w:tc>
          <w:tcPr>
            <w:tcW w:type="dxa" w:w="2438"/>
            <w:shd w:val="clear" w:color="auto" w:fill="EEF2F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¿El 15-dic es fecha dura?</w:t>
            </w:r>
          </w:p>
        </w:tc>
      </w:tr>
      <w:tr>
        <w:tc>
          <w:tcPr>
            <w:tcW w:type="dxa" w:w="39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Metodología (D2).</w:t>
            </w:r>
            <w:r>
              <w:rPr>
                <w:sz w:val="17"/>
              </w:rPr>
              <w:t xml:space="preserve"> El diseño dice «enfoque cuantitativo». En la práctica también hay entrevistas y análisis de opiniones</w:t>
            </w:r>
          </w:p>
        </w:tc>
        <w:tc>
          <w:tcPr>
            <w:tcW w:type="dxa" w:w="357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Marco </w:t>
            </w:r>
            <w:r>
              <w:rPr>
                <w:b/>
                <w:sz w:val="17"/>
              </w:rPr>
              <w:t>DSR</w:t>
            </w:r>
            <w:r>
              <w:rPr>
                <w:sz w:val="17"/>
              </w:rPr>
              <w:t xml:space="preserve"> (investigación en ciencia del diseño: construir y probar un sistema), con </w:t>
            </w:r>
            <w:r>
              <w:rPr>
                <w:b/>
                <w:sz w:val="17"/>
              </w:rPr>
              <w:t>Design Thinking</w:t>
            </w:r>
            <w:r>
              <w:rPr>
                <w:sz w:val="17"/>
              </w:rPr>
              <w:t xml:space="preserve"> para diseñar a partir de los usuarios y </w:t>
            </w:r>
            <w:r>
              <w:rPr>
                <w:b/>
                <w:sz w:val="17"/>
              </w:rPr>
              <w:t>Scrum</w:t>
            </w:r>
            <w:r>
              <w:rPr>
                <w:sz w:val="17"/>
              </w:rPr>
              <w:t xml:space="preserve"> (trabajo en ciclos semanales) para organizarnos. Enfoque «mixto con predominio cuantitativo»</w:t>
            </w:r>
          </w:p>
        </w:tc>
        <w:tc>
          <w:tcPr>
            <w:tcW w:type="dxa" w:w="243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¿Lo aprueba? ¿Hay que cambiar el texto del enfoque?</w:t>
            </w:r>
          </w:p>
        </w:tc>
      </w:tr>
      <w:tr>
        <w:tc>
          <w:tcPr>
            <w:tcW w:type="dxa" w:w="397"/>
            <w:shd w:val="clear" w:color="auto" w:fill="EEF2F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4</w:t>
            </w:r>
          </w:p>
        </w:tc>
        <w:tc>
          <w:tcPr>
            <w:tcW w:type="dxa" w:w="3005"/>
            <w:shd w:val="clear" w:color="auto" w:fill="EEF2F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Registro en Bitcoin (D6).</w:t>
            </w:r>
            <w:r>
              <w:rPr>
                <w:sz w:val="17"/>
              </w:rPr>
              <w:t xml:space="preserve"> El diseño ancla el historial en Bitcoin con OpenTimestamps</w:t>
            </w:r>
          </w:p>
        </w:tc>
        <w:tc>
          <w:tcPr>
            <w:tcW w:type="dxa" w:w="3572"/>
            <w:shd w:val="clear" w:color="auto" w:fill="EEF2F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Quitarlo. Usar solo una </w:t>
            </w:r>
            <w:r>
              <w:rPr>
                <w:b/>
                <w:sz w:val="17"/>
              </w:rPr>
              <w:t>huella digital SHA-256</w:t>
            </w:r>
            <w:r>
              <w:rPr>
                <w:sz w:val="17"/>
              </w:rPr>
              <w:t xml:space="preserve"> (si alguien cambia un registro, la huella deja de coincidir) y un </w:t>
            </w:r>
            <w:r>
              <w:rPr>
                <w:b/>
                <w:sz w:val="17"/>
              </w:rPr>
              <w:t>registro en el que solo se agrega, nunca se edita</w:t>
            </w:r>
            <w:r>
              <w:rPr>
                <w:sz w:val="17"/>
              </w:rPr>
              <w:t>. Es más simple, sin dependencia de criptomonedas, y cumple la misma función. Traemos la justificación escrita cuando tengamos 3 fuentes verificadas</w:t>
            </w:r>
          </w:p>
        </w:tc>
        <w:tc>
          <w:tcPr>
            <w:tcW w:type="dxa" w:w="2438"/>
            <w:shd w:val="clear" w:color="auto" w:fill="EEF2F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¿Lo aprueba? (no lo quitamos del documento hasta su respuesta)</w:t>
            </w:r>
          </w:p>
        </w:tc>
      </w:tr>
      <w:tr>
        <w:tc>
          <w:tcPr>
            <w:tcW w:type="dxa" w:w="397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5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/>
                <w:sz w:val="17"/>
              </w:rPr>
              <w:t>Duración de la validación.</w:t>
            </w:r>
            <w:r>
              <w:rPr>
                <w:sz w:val="17"/>
              </w:rPr>
              <w:t xml:space="preserve"> El diseño dice «piloto de dos semanas». Lo llamamos «validación del diseño en operación experimental controlada»</w:t>
            </w:r>
          </w:p>
        </w:tc>
        <w:tc>
          <w:tcPr>
            <w:tcW w:type="dxa" w:w="3572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 xml:space="preserve">Si la entrega es el 15-dic: hacerla del </w:t>
            </w:r>
            <w:r>
              <w:rPr>
                <w:b/>
                <w:sz w:val="17"/>
              </w:rPr>
              <w:t>23-nov al 2-dic</w:t>
            </w:r>
            <w:r>
              <w:rPr>
                <w:sz w:val="17"/>
              </w:rPr>
              <w:t xml:space="preserve"> (8 días hábiles), con la medición del «después» dentro de esos días. Así quedan 8 días hábiles para analizar y corregir (con el plan actual quedarían 3)</w:t>
            </w:r>
          </w:p>
        </w:tc>
        <w:tc>
          <w:tcPr>
            <w:tcW w:type="dxa" w:w="2438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sz w:val="17"/>
              </w:rPr>
              <w:t>¿Acepta el nombre y, en el escenario A, la duración más corta?</w:t>
            </w:r>
          </w:p>
        </w:tc>
      </w:tr>
    </w:tbl>
    <w:p/>
    <w:p>
      <w:r>
        <w:rPr>
          <w:b/>
          <w:sz w:val="17"/>
        </w:rPr>
        <w:t>Llevar impreso:</w:t>
      </w:r>
      <w:r>
        <w:rPr>
          <w:sz w:val="17"/>
        </w:rPr>
        <w:t xml:space="preserve"> esta hoja y el acta en blanco (</w:t>
      </w:r>
      <w:r>
        <w:rPr>
          <w:rFonts w:ascii="Consolas" w:hAnsi="Consolas" w:cs="Consolas" w:eastAsia="Consolas"/>
          <w:color w:val="0B1F3A"/>
          <w:sz w:val="17"/>
        </w:rPr>
        <w:t>08_Reuniones_Tutora/_Plantilla_Acta.md</w:t>
      </w:r>
      <w:r>
        <w:rPr>
          <w:sz w:val="17"/>
        </w:rPr>
        <w:t xml:space="preserve">, también incluida en el Documento madre). </w:t>
      </w:r>
      <w:r>
        <w:rPr>
          <w:b/>
          <w:sz w:val="17"/>
        </w:rPr>
        <w:t>Al salir:</w:t>
      </w:r>
      <w:r>
        <w:rPr>
          <w:sz w:val="17"/>
        </w:rPr>
        <w:t xml:space="preserve"> escribir el acta el mismo día en </w:t>
      </w:r>
      <w:r>
        <w:rPr>
          <w:rFonts w:ascii="Consolas" w:hAnsi="Consolas" w:cs="Consolas" w:eastAsia="Consolas"/>
          <w:color w:val="0B1F3A"/>
          <w:sz w:val="17"/>
        </w:rPr>
        <w:t>08_Reuniones_Tutora/2026-10-12_Acta_Conversacion.md</w:t>
      </w:r>
      <w:r>
        <w:rPr>
          <w:sz w:val="17"/>
        </w:rPr>
        <w:t>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ato" w:hAnsi="Lato" w:cs="Lato" w:eastAsia="Lato"/>
        <w:color w:val="555E6B"/>
        <w:sz w:val="16"/>
      </w:rPr>
      <w:t xml:space="preserve">Puntos para hablar con la tutora  ·  Tesis Torvesa · UPS  ·  pág. </w:t>
    </w:r>
    <w:r>
      <w:rPr>
        <w:color w:val="555E6B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Lato" w:hAnsi="Lato" w:eastAsia="Lato"/>
      <w:color w:val="222A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Poppins" w:hAnsi="Poppins" w:cs="Poppins"/>
      <w:b/>
      <w:bCs/>
      <w:color w:val="0B1F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Poppins" w:hAnsi="Poppins" w:cs="Poppins"/>
      <w:b/>
      <w:bCs/>
      <w:color w:val="B873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Poppins" w:hAnsi="Poppins" w:cs="Poppins"/>
      <w:b/>
      <w:bCs/>
      <w:color w:val="0B1F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ato" w:hAnsi="Lato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ato" w:hAnsi="Lato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