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0B1F3A"/>
          </w:tcPr>
          <w:p>
            <w:pPr>
              <w:spacing w:before="200"/>
            </w:pPr>
            <w:r>
              <w:rPr>
                <w:rFonts w:ascii="Poppins" w:hAnsi="Poppins" w:cs="Poppins" w:eastAsia="Poppins"/>
                <w:b/>
                <w:color w:val="B87333"/>
                <w:sz w:val="18"/>
              </w:rPr>
              <w:t>TESIS TORVESA · UPS</w:t>
            </w:r>
          </w:p>
          <w:p>
            <w:r>
              <w:rPr>
                <w:rFonts w:ascii="Poppins" w:hAnsi="Poppins" w:cs="Poppins" w:eastAsia="Poppins"/>
                <w:b/>
                <w:color w:val="FFFFFF"/>
                <w:sz w:val="44"/>
              </w:rPr>
              <w:t>Correo a Torvesa</w:t>
            </w:r>
          </w:p>
          <w:p>
            <w:r>
              <w:rPr>
                <w:rFonts w:ascii="Lato" w:hAnsi="Lato" w:cs="Lato" w:eastAsia="Lato"/>
                <w:color w:val="E6C3A0"/>
                <w:sz w:val="22"/>
              </w:rPr>
              <w:t>Borrador para revisar y enviar · respuesta pedida hasta el miércoles 14-oct</w:t>
            </w:r>
          </w:p>
          <w:p>
            <w:pPr>
              <w:spacing w:after="200"/>
            </w:pPr>
            <w:r>
              <w:rPr>
                <w:rFonts w:ascii="Lato" w:hAnsi="Lato" w:cs="Lato" w:eastAsia="Lato"/>
                <w:color w:val="CFD8E3"/>
                <w:sz w:val="18"/>
              </w:rPr>
              <w:t>Víctor Segura · Diego Bermeo</w:t>
            </w:r>
          </w:p>
        </w:tc>
      </w:tr>
    </w:tbl>
    <w:p/>
    <w:tbl>
      <w:tblPr>
        <w:tblW w:type="auto" w:w="0"/>
        <w:tblLook w:firstColumn="1" w:firstRow="1" w:lastColumn="0" w:lastRow="0" w:noHBand="0" w:noVBand="1" w:val="04A0"/>
      </w:tblPr>
      <w:tblGrid>
        <w:gridCol w:w="9746"/>
      </w:tblGrid>
      <w:tr>
        <w:tc>
          <w:tcPr>
            <w:tcW w:type="dxa" w:w="9746"/>
            <w:shd w:val="clear" w:color="auto" w:fill="EEF2F7"/>
          </w:tcPr>
          <w:p>
            <w:r>
              <w:rPr>
                <w:b/>
              </w:rPr>
              <w:t>Cómo usarlo:</w:t>
            </w:r>
            <w:r>
              <w:rPr/>
              <w:t xml:space="preserve"> revisa el texto, cambia lo que quieras, copia y pega en tu correo. Adjunta el </w:t>
            </w:r>
            <w:r>
              <w:rPr>
                <w:b/>
              </w:rPr>
              <w:t>Anexo: catálogo de productos y servicios</w:t>
            </w:r>
            <w:r>
              <w:rPr/>
              <w:t xml:space="preserve"> (abajo, en este mismo Word; se puede enviar como archivo aparte). </w:t>
            </w:r>
            <w:r>
              <w:rPr>
                <w:b/>
              </w:rPr>
              <w:t>Para:</w:t>
            </w:r>
            <w:r>
              <w:rPr/>
              <w:t xml:space="preserve"> Ing. Mentor Eduardo Torres Cunalata, Representante Legal de Torvesa Constructora. </w:t>
            </w:r>
            <w:r>
              <w:rPr>
                <w:b/>
              </w:rPr>
              <w:t>Asunto:</w:t>
            </w:r>
            <w:r>
              <w:rPr/>
              <w:t xml:space="preserve"> Tesis UPS — confirmación de información de la empresa (respuesta hasta el miércoles 14-oct)</w:t>
            </w:r>
          </w:p>
        </w:tc>
      </w:tr>
    </w:tbl>
    <w:p/>
    <w:p>
      <w:pPr>
        <w:pStyle w:val="Heading1"/>
        <w:pBdr>
          <w:bottom w:val="single" w:sz="10" w:space="4" w:color="B87333"/>
        </w:pBdr>
      </w:pPr>
      <w:r>
        <w:t>Texto del correo</w:t>
      </w:r>
    </w:p>
    <w:p>
      <w:r>
        <w:rPr/>
        <w:t>Estimado Ing. Torres:</w:t>
      </w:r>
    </w:p>
    <w:p>
      <w:r>
        <w:rPr/>
        <w:t xml:space="preserve">Reciba un cordial saludo. Le escribimos por el trabajo de titulación «Diseño de un sistema de automatización para la gestión comercial en la Constructora Torvesa», que usted autorizó el 29 de septiembre. Para que la tesis use solo información verificada, le pedimos tres cosas, en lo posible </w:t>
      </w:r>
      <w:r>
        <w:rPr>
          <w:b/>
        </w:rPr>
        <w:t>hasta el miércoles 14 de octubre</w:t>
      </w:r>
      <w:r>
        <w:rPr/>
        <w:t>:</w:t>
      </w:r>
    </w:p>
    <w:p>
      <w:r>
        <w:rPr>
          <w:b/>
        </w:rPr>
        <w:t>1. Confirmar a qué se dedica la empresa.</w:t>
      </w:r>
      <w:r>
        <w:rPr/>
        <w:t xml:space="preserve"> En el SRI, Torvesa figura con la actividad «construcción de carreteras, calles y otras vías» y obras de ingeniería civil. ¿Es correcto? ¿Hacen también edificaciones o venden inmuebles (departamentos, casas, locales)? ¿Qué parte de su trabajo es para clientes privados y qué parte para contratos públicos?</w:t>
      </w:r>
    </w:p>
    <w:p>
      <w:r>
        <w:rPr>
          <w:b/>
        </w:rPr>
        <w:t>2. Una nota de respaldo, firmada.</w:t>
      </w:r>
      <w:r>
        <w:rPr/>
        <w:t xml:space="preserve"> Un párrafo con: el número actual de colaboradores, cuántos atienden clientes o preparan cotizaciones, el número de clientes en cartera y la confirmación del giro del negocio. La tesis la citará como fuente oficial de la empresa, en lugar de usar estimaciones.</w:t>
      </w:r>
    </w:p>
    <w:p>
      <w:r>
        <w:rPr>
          <w:b/>
        </w:rPr>
        <w:t>3. El catálogo de productos y servicios (adjunto).</w:t>
      </w:r>
      <w:r>
        <w:rPr/>
        <w:t xml:space="preserve"> Es una tabla breve para conocer qué cotiza la empresa. No pedimos precios exactos: basta con rangos aproximados.</w:t>
      </w:r>
    </w:p>
    <w:p>
      <w:r>
        <w:rPr/>
        <w:t>Además, para el trabajo de campo de esta semana le pedimos que nos indique qué podemos hacer: (a) aplicar una encuesta breve y anónima a los colaboradores (15 minutos); (b) entrevistar a 3–5 personas de gerencia y ventas (30–40 minutos); (c) observar y tomar el tiempo de la preparación de algunas cotizaciones; (d) revisar una muestra de solicitudes y cotizaciones de los últimos 3 meses, anotando solo fechas y horas, sin nombres ni datos de clientes; (e) llamar a los clientes para una encuesta de 6 minutos. Todo se hace con consentimiento informado y de acuerdo con la Ley Orgánica de Protección de Datos Personales; ningún dato personal sale de nuestro equipo y la empresa solo recibe resultados agregados.</w:t>
      </w:r>
    </w:p>
    <w:p>
      <w:r>
        <w:rPr/>
        <w:t>Si alguna de estas actividades no es posible, nos adaptamos a lo que usted autorice.</w:t>
      </w:r>
    </w:p>
    <w:p>
      <w:r>
        <w:rPr/>
        <w:t>Quedamos atentos. Muchas gracias por su apoyo.</w:t>
      </w:r>
    </w:p>
    <w:p>
      <w:r>
        <w:rPr/>
        <w:t>Atentamente,</w:t>
        <w:br/>
        <w:t>Víctor Segura Heredia · Diego Bermeo Torres</w:t>
        <w:br/>
        <w:t>Estudiantes de Negocios Digitales — Universidad Politécnica Salesiana</w:t>
        <w:br/>
        <w:t>[correo] · [teléfono]</w:t>
      </w:r>
    </w:p>
    <w:p>
      <w:r>
        <w:br w:type="page"/>
      </w:r>
    </w:p>
    <w:p>
      <w:pPr>
        <w:pStyle w:val="Heading1"/>
        <w:pBdr>
          <w:bottom w:val="single" w:sz="10" w:space="4" w:color="B87333"/>
        </w:pBdr>
      </w:pPr>
      <w:r>
        <w:t>Anexo — Catálogo de productos y servicios de Torvesa</w:t>
      </w:r>
    </w:p>
    <w:p>
      <w:r>
        <w:rPr/>
        <w:t>Por favor complete una fila por cada tipo de trabajo que la empresa cotiza. Los rangos pueden ser aproximados. Agregue las filas que necesite.</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701"/>
        <w:gridCol w:w="1814"/>
        <w:gridCol w:w="1134"/>
        <w:gridCol w:w="1247"/>
        <w:gridCol w:w="1247"/>
        <w:gridCol w:w="1134"/>
        <w:gridCol w:w="1134"/>
      </w:tblGrid>
      <w:tr>
        <w:tc>
          <w:tcPr>
            <w:tcW w:type="dxa" w:w="1701"/>
            <w:shd w:val="clear" w:color="auto" w:fill="0B1F3A"/>
          </w:tcPr>
          <w:p>
            <w:pPr>
              <w:spacing w:after="20"/>
            </w:pPr>
            <w:r/>
            <w:r>
              <w:rPr>
                <w:rFonts w:ascii="Poppins" w:hAnsi="Poppins" w:cs="Poppins" w:eastAsia="Poppins"/>
                <w:b/>
                <w:color w:val="FFFFFF"/>
                <w:sz w:val="19"/>
              </w:rPr>
              <w:t>Tipo de trabajo o servicio</w:t>
            </w:r>
          </w:p>
        </w:tc>
        <w:tc>
          <w:tcPr>
            <w:tcW w:type="dxa" w:w="1814"/>
            <w:shd w:val="clear" w:color="auto" w:fill="0B1F3A"/>
          </w:tcPr>
          <w:p>
            <w:pPr>
              <w:spacing w:after="20"/>
            </w:pPr>
            <w:r/>
            <w:r>
              <w:rPr>
                <w:rFonts w:ascii="Poppins" w:hAnsi="Poppins" w:cs="Poppins" w:eastAsia="Poppins"/>
                <w:b/>
                <w:color w:val="FFFFFF"/>
                <w:sz w:val="19"/>
              </w:rPr>
              <w:t>Descripción breve</w:t>
            </w:r>
          </w:p>
        </w:tc>
        <w:tc>
          <w:tcPr>
            <w:tcW w:type="dxa" w:w="1134"/>
            <w:shd w:val="clear" w:color="auto" w:fill="0B1F3A"/>
          </w:tcPr>
          <w:p>
            <w:pPr>
              <w:spacing w:after="20"/>
            </w:pPr>
            <w:r/>
            <w:r>
              <w:rPr>
                <w:rFonts w:ascii="Poppins" w:hAnsi="Poppins" w:cs="Poppins" w:eastAsia="Poppins"/>
                <w:b/>
                <w:color w:val="FFFFFF"/>
                <w:sz w:val="19"/>
              </w:rPr>
              <w:t>Unidad de cobro (m², m³, obra, hora…)</w:t>
            </w:r>
          </w:p>
        </w:tc>
        <w:tc>
          <w:tcPr>
            <w:tcW w:type="dxa" w:w="1247"/>
            <w:shd w:val="clear" w:color="auto" w:fill="0B1F3A"/>
          </w:tcPr>
          <w:p>
            <w:pPr>
              <w:spacing w:after="20"/>
            </w:pPr>
            <w:r/>
            <w:r>
              <w:rPr>
                <w:rFonts w:ascii="Poppins" w:hAnsi="Poppins" w:cs="Poppins" w:eastAsia="Poppins"/>
                <w:b/>
                <w:color w:val="FFFFFF"/>
                <w:sz w:val="19"/>
              </w:rPr>
              <w:t>Rango de precio aproximado (USD)</w:t>
            </w:r>
          </w:p>
        </w:tc>
        <w:tc>
          <w:tcPr>
            <w:tcW w:type="dxa" w:w="1247"/>
            <w:shd w:val="clear" w:color="auto" w:fill="0B1F3A"/>
          </w:tcPr>
          <w:p>
            <w:pPr>
              <w:spacing w:after="20"/>
            </w:pPr>
            <w:r/>
            <w:r>
              <w:rPr>
                <w:rFonts w:ascii="Poppins" w:hAnsi="Poppins" w:cs="Poppins" w:eastAsia="Poppins"/>
                <w:b/>
                <w:color w:val="FFFFFF"/>
                <w:sz w:val="19"/>
              </w:rPr>
              <w:t>¿Cuántas cotizaciones de este tipo al mes?</w:t>
            </w:r>
          </w:p>
        </w:tc>
        <w:tc>
          <w:tcPr>
            <w:tcW w:type="dxa" w:w="1134"/>
            <w:shd w:val="clear" w:color="auto" w:fill="0B1F3A"/>
          </w:tcPr>
          <w:p>
            <w:pPr>
              <w:spacing w:after="20"/>
            </w:pPr>
            <w:r/>
            <w:r>
              <w:rPr>
                <w:rFonts w:ascii="Poppins" w:hAnsi="Poppins" w:cs="Poppins" w:eastAsia="Poppins"/>
                <w:b/>
                <w:color w:val="FFFFFF"/>
                <w:sz w:val="19"/>
              </w:rPr>
              <w:t>¿Cuánto toma preparar la cotización?</w:t>
            </w:r>
          </w:p>
        </w:tc>
        <w:tc>
          <w:tcPr>
            <w:tcW w:type="dxa" w:w="1134"/>
            <w:shd w:val="clear" w:color="auto" w:fill="0B1F3A"/>
          </w:tcPr>
          <w:p>
            <w:pPr>
              <w:spacing w:after="20"/>
            </w:pPr>
            <w:r/>
            <w:r>
              <w:rPr>
                <w:rFonts w:ascii="Poppins" w:hAnsi="Poppins" w:cs="Poppins" w:eastAsia="Poppins"/>
                <w:b/>
                <w:color w:val="FFFFFF"/>
                <w:sz w:val="19"/>
              </w:rPr>
              <w:t>¿Quién la prepara? (cargo)</w:t>
            </w:r>
          </w:p>
        </w:tc>
      </w:tr>
      <w:tr>
        <w:tc>
          <w:tcPr>
            <w:tcW w:type="dxa" w:w="1701"/>
          </w:tcPr>
          <w:p>
            <w:pPr>
              <w:spacing w:after="20"/>
            </w:pPr>
            <w:r>
              <w:rPr>
                <w:sz w:val="19"/>
              </w:rPr>
            </w:r>
            <w:r>
              <w:rPr>
                <w:sz w:val="19"/>
              </w:rPr>
              <w:t>Ejemplo: adoquinado de vías</w:t>
            </w:r>
          </w:p>
        </w:tc>
        <w:tc>
          <w:tcPr>
            <w:tcW w:type="dxa" w:w="1814"/>
          </w:tcPr>
          <w:p>
            <w:pPr>
              <w:spacing w:after="20"/>
            </w:pPr>
            <w:r>
              <w:rPr>
                <w:sz w:val="19"/>
              </w:rPr>
            </w:r>
            <w:r>
              <w:rPr>
                <w:sz w:val="19"/>
              </w:rPr>
              <w:t>Colocación de adoquín con base y sub-base</w:t>
            </w:r>
          </w:p>
        </w:tc>
        <w:tc>
          <w:tcPr>
            <w:tcW w:type="dxa" w:w="1134"/>
          </w:tcPr>
          <w:p>
            <w:pPr>
              <w:spacing w:after="20"/>
            </w:pPr>
            <w:r>
              <w:rPr>
                <w:sz w:val="19"/>
              </w:rPr>
            </w:r>
            <w:r>
              <w:rPr>
                <w:sz w:val="19"/>
              </w:rPr>
              <w:t>m²</w:t>
            </w:r>
          </w:p>
        </w:tc>
        <w:tc>
          <w:tcPr>
            <w:tcW w:type="dxa" w:w="1247"/>
          </w:tcPr>
          <w:p>
            <w:pPr>
              <w:spacing w:after="20"/>
            </w:pPr>
            <w:r>
              <w:rPr>
                <w:sz w:val="19"/>
              </w:rPr>
            </w:r>
          </w:p>
        </w:tc>
        <w:tc>
          <w:tcPr>
            <w:tcW w:type="dxa" w:w="1247"/>
          </w:tcPr>
          <w:p>
            <w:pPr>
              <w:spacing w:after="20"/>
            </w:pPr>
            <w:r>
              <w:rPr>
                <w:sz w:val="19"/>
              </w:rPr>
            </w:r>
          </w:p>
        </w:tc>
        <w:tc>
          <w:tcPr>
            <w:tcW w:type="dxa" w:w="1134"/>
          </w:tcPr>
          <w:p>
            <w:pPr>
              <w:spacing w:after="20"/>
            </w:pPr>
            <w:r>
              <w:rPr>
                <w:sz w:val="19"/>
              </w:rPr>
            </w:r>
          </w:p>
        </w:tc>
        <w:tc>
          <w:tcPr>
            <w:tcW w:type="dxa" w:w="1134"/>
          </w:tcPr>
          <w:p>
            <w:pPr>
              <w:spacing w:after="20"/>
            </w:pPr>
            <w:r>
              <w:rPr>
                <w:sz w:val="19"/>
              </w:rPr>
            </w:r>
          </w:p>
        </w:tc>
      </w:tr>
      <w:tr>
        <w:tc>
          <w:tcPr>
            <w:tcW w:type="dxa" w:w="1701"/>
            <w:shd w:val="clear" w:color="auto" w:fill="EEF2F7"/>
          </w:tcPr>
          <w:p>
            <w:pPr>
              <w:spacing w:after="20"/>
            </w:pPr>
            <w:r>
              <w:rPr>
                <w:sz w:val="19"/>
              </w:rPr>
            </w:r>
          </w:p>
        </w:tc>
        <w:tc>
          <w:tcPr>
            <w:tcW w:type="dxa" w:w="1814"/>
            <w:shd w:val="clear" w:color="auto" w:fill="EEF2F7"/>
          </w:tcPr>
          <w:p>
            <w:pPr>
              <w:spacing w:after="20"/>
            </w:pPr>
            <w:r>
              <w:rPr>
                <w:sz w:val="19"/>
              </w:rPr>
            </w:r>
          </w:p>
        </w:tc>
        <w:tc>
          <w:tcPr>
            <w:tcW w:type="dxa" w:w="1134"/>
            <w:shd w:val="clear" w:color="auto" w:fill="EEF2F7"/>
          </w:tcPr>
          <w:p>
            <w:pPr>
              <w:spacing w:after="20"/>
            </w:pPr>
            <w:r>
              <w:rPr>
                <w:sz w:val="19"/>
              </w:rPr>
            </w:r>
          </w:p>
        </w:tc>
        <w:tc>
          <w:tcPr>
            <w:tcW w:type="dxa" w:w="1247"/>
            <w:shd w:val="clear" w:color="auto" w:fill="EEF2F7"/>
          </w:tcPr>
          <w:p>
            <w:pPr>
              <w:spacing w:after="20"/>
            </w:pPr>
            <w:r>
              <w:rPr>
                <w:sz w:val="19"/>
              </w:rPr>
            </w:r>
          </w:p>
        </w:tc>
        <w:tc>
          <w:tcPr>
            <w:tcW w:type="dxa" w:w="1247"/>
            <w:shd w:val="clear" w:color="auto" w:fill="EEF2F7"/>
          </w:tcPr>
          <w:p>
            <w:pPr>
              <w:spacing w:after="20"/>
            </w:pPr>
            <w:r>
              <w:rPr>
                <w:sz w:val="19"/>
              </w:rPr>
            </w:r>
          </w:p>
        </w:tc>
        <w:tc>
          <w:tcPr>
            <w:tcW w:type="dxa" w:w="1134"/>
            <w:shd w:val="clear" w:color="auto" w:fill="EEF2F7"/>
          </w:tcPr>
          <w:p>
            <w:pPr>
              <w:spacing w:after="20"/>
            </w:pPr>
            <w:r>
              <w:rPr>
                <w:sz w:val="19"/>
              </w:rPr>
            </w:r>
          </w:p>
        </w:tc>
        <w:tc>
          <w:tcPr>
            <w:tcW w:type="dxa" w:w="1134"/>
            <w:shd w:val="clear" w:color="auto" w:fill="EEF2F7"/>
          </w:tcPr>
          <w:p>
            <w:pPr>
              <w:spacing w:after="20"/>
            </w:pPr>
            <w:r>
              <w:rPr>
                <w:sz w:val="19"/>
              </w:rPr>
            </w:r>
          </w:p>
        </w:tc>
      </w:tr>
      <w:tr>
        <w:tc>
          <w:tcPr>
            <w:tcW w:type="dxa" w:w="1701"/>
          </w:tcPr>
          <w:p>
            <w:pPr>
              <w:spacing w:after="20"/>
            </w:pPr>
            <w:r>
              <w:rPr>
                <w:sz w:val="19"/>
              </w:rPr>
            </w:r>
          </w:p>
        </w:tc>
        <w:tc>
          <w:tcPr>
            <w:tcW w:type="dxa" w:w="1814"/>
          </w:tcPr>
          <w:p>
            <w:pPr>
              <w:spacing w:after="20"/>
            </w:pPr>
            <w:r>
              <w:rPr>
                <w:sz w:val="19"/>
              </w:rPr>
            </w:r>
          </w:p>
        </w:tc>
        <w:tc>
          <w:tcPr>
            <w:tcW w:type="dxa" w:w="1134"/>
          </w:tcPr>
          <w:p>
            <w:pPr>
              <w:spacing w:after="20"/>
            </w:pPr>
            <w:r>
              <w:rPr>
                <w:sz w:val="19"/>
              </w:rPr>
            </w:r>
          </w:p>
        </w:tc>
        <w:tc>
          <w:tcPr>
            <w:tcW w:type="dxa" w:w="1247"/>
          </w:tcPr>
          <w:p>
            <w:pPr>
              <w:spacing w:after="20"/>
            </w:pPr>
            <w:r>
              <w:rPr>
                <w:sz w:val="19"/>
              </w:rPr>
            </w:r>
          </w:p>
        </w:tc>
        <w:tc>
          <w:tcPr>
            <w:tcW w:type="dxa" w:w="1247"/>
          </w:tcPr>
          <w:p>
            <w:pPr>
              <w:spacing w:after="20"/>
            </w:pPr>
            <w:r>
              <w:rPr>
                <w:sz w:val="19"/>
              </w:rPr>
            </w:r>
          </w:p>
        </w:tc>
        <w:tc>
          <w:tcPr>
            <w:tcW w:type="dxa" w:w="1134"/>
          </w:tcPr>
          <w:p>
            <w:pPr>
              <w:spacing w:after="20"/>
            </w:pPr>
            <w:r>
              <w:rPr>
                <w:sz w:val="19"/>
              </w:rPr>
            </w:r>
          </w:p>
        </w:tc>
        <w:tc>
          <w:tcPr>
            <w:tcW w:type="dxa" w:w="1134"/>
          </w:tcPr>
          <w:p>
            <w:pPr>
              <w:spacing w:after="20"/>
            </w:pPr>
            <w:r>
              <w:rPr>
                <w:sz w:val="19"/>
              </w:rPr>
            </w:r>
          </w:p>
        </w:tc>
      </w:tr>
      <w:tr>
        <w:tc>
          <w:tcPr>
            <w:tcW w:type="dxa" w:w="1701"/>
            <w:shd w:val="clear" w:color="auto" w:fill="EEF2F7"/>
          </w:tcPr>
          <w:p>
            <w:pPr>
              <w:spacing w:after="20"/>
            </w:pPr>
            <w:r>
              <w:rPr>
                <w:sz w:val="19"/>
              </w:rPr>
            </w:r>
          </w:p>
        </w:tc>
        <w:tc>
          <w:tcPr>
            <w:tcW w:type="dxa" w:w="1814"/>
            <w:shd w:val="clear" w:color="auto" w:fill="EEF2F7"/>
          </w:tcPr>
          <w:p>
            <w:pPr>
              <w:spacing w:after="20"/>
            </w:pPr>
            <w:r>
              <w:rPr>
                <w:sz w:val="19"/>
              </w:rPr>
            </w:r>
          </w:p>
        </w:tc>
        <w:tc>
          <w:tcPr>
            <w:tcW w:type="dxa" w:w="1134"/>
            <w:shd w:val="clear" w:color="auto" w:fill="EEF2F7"/>
          </w:tcPr>
          <w:p>
            <w:pPr>
              <w:spacing w:after="20"/>
            </w:pPr>
            <w:r>
              <w:rPr>
                <w:sz w:val="19"/>
              </w:rPr>
            </w:r>
          </w:p>
        </w:tc>
        <w:tc>
          <w:tcPr>
            <w:tcW w:type="dxa" w:w="1247"/>
            <w:shd w:val="clear" w:color="auto" w:fill="EEF2F7"/>
          </w:tcPr>
          <w:p>
            <w:pPr>
              <w:spacing w:after="20"/>
            </w:pPr>
            <w:r>
              <w:rPr>
                <w:sz w:val="19"/>
              </w:rPr>
            </w:r>
          </w:p>
        </w:tc>
        <w:tc>
          <w:tcPr>
            <w:tcW w:type="dxa" w:w="1247"/>
            <w:shd w:val="clear" w:color="auto" w:fill="EEF2F7"/>
          </w:tcPr>
          <w:p>
            <w:pPr>
              <w:spacing w:after="20"/>
            </w:pPr>
            <w:r>
              <w:rPr>
                <w:sz w:val="19"/>
              </w:rPr>
            </w:r>
          </w:p>
        </w:tc>
        <w:tc>
          <w:tcPr>
            <w:tcW w:type="dxa" w:w="1134"/>
            <w:shd w:val="clear" w:color="auto" w:fill="EEF2F7"/>
          </w:tcPr>
          <w:p>
            <w:pPr>
              <w:spacing w:after="20"/>
            </w:pPr>
            <w:r>
              <w:rPr>
                <w:sz w:val="19"/>
              </w:rPr>
            </w:r>
          </w:p>
        </w:tc>
        <w:tc>
          <w:tcPr>
            <w:tcW w:type="dxa" w:w="1134"/>
            <w:shd w:val="clear" w:color="auto" w:fill="EEF2F7"/>
          </w:tcPr>
          <w:p>
            <w:pPr>
              <w:spacing w:after="20"/>
            </w:pPr>
            <w:r>
              <w:rPr>
                <w:sz w:val="19"/>
              </w:rPr>
            </w:r>
          </w:p>
        </w:tc>
      </w:tr>
      <w:tr>
        <w:tc>
          <w:tcPr>
            <w:tcW w:type="dxa" w:w="1701"/>
          </w:tcPr>
          <w:p>
            <w:pPr>
              <w:spacing w:after="20"/>
            </w:pPr>
            <w:r>
              <w:rPr>
                <w:sz w:val="19"/>
              </w:rPr>
            </w:r>
          </w:p>
        </w:tc>
        <w:tc>
          <w:tcPr>
            <w:tcW w:type="dxa" w:w="1814"/>
          </w:tcPr>
          <w:p>
            <w:pPr>
              <w:spacing w:after="20"/>
            </w:pPr>
            <w:r>
              <w:rPr>
                <w:sz w:val="19"/>
              </w:rPr>
            </w:r>
          </w:p>
        </w:tc>
        <w:tc>
          <w:tcPr>
            <w:tcW w:type="dxa" w:w="1134"/>
          </w:tcPr>
          <w:p>
            <w:pPr>
              <w:spacing w:after="20"/>
            </w:pPr>
            <w:r>
              <w:rPr>
                <w:sz w:val="19"/>
              </w:rPr>
            </w:r>
          </w:p>
        </w:tc>
        <w:tc>
          <w:tcPr>
            <w:tcW w:type="dxa" w:w="1247"/>
          </w:tcPr>
          <w:p>
            <w:pPr>
              <w:spacing w:after="20"/>
            </w:pPr>
            <w:r>
              <w:rPr>
                <w:sz w:val="19"/>
              </w:rPr>
            </w:r>
          </w:p>
        </w:tc>
        <w:tc>
          <w:tcPr>
            <w:tcW w:type="dxa" w:w="1247"/>
          </w:tcPr>
          <w:p>
            <w:pPr>
              <w:spacing w:after="20"/>
            </w:pPr>
            <w:r>
              <w:rPr>
                <w:sz w:val="19"/>
              </w:rPr>
            </w:r>
          </w:p>
        </w:tc>
        <w:tc>
          <w:tcPr>
            <w:tcW w:type="dxa" w:w="1134"/>
          </w:tcPr>
          <w:p>
            <w:pPr>
              <w:spacing w:after="20"/>
            </w:pPr>
            <w:r>
              <w:rPr>
                <w:sz w:val="19"/>
              </w:rPr>
            </w:r>
          </w:p>
        </w:tc>
        <w:tc>
          <w:tcPr>
            <w:tcW w:type="dxa" w:w="1134"/>
          </w:tcPr>
          <w:p>
            <w:pPr>
              <w:spacing w:after="20"/>
            </w:pPr>
            <w:r>
              <w:rPr>
                <w:sz w:val="19"/>
              </w:rPr>
            </w:r>
          </w:p>
        </w:tc>
      </w:tr>
      <w:tr>
        <w:tc>
          <w:tcPr>
            <w:tcW w:type="dxa" w:w="1701"/>
            <w:shd w:val="clear" w:color="auto" w:fill="EEF2F7"/>
          </w:tcPr>
          <w:p>
            <w:pPr>
              <w:spacing w:after="20"/>
            </w:pPr>
            <w:r>
              <w:rPr>
                <w:sz w:val="19"/>
              </w:rPr>
            </w:r>
          </w:p>
        </w:tc>
        <w:tc>
          <w:tcPr>
            <w:tcW w:type="dxa" w:w="1814"/>
            <w:shd w:val="clear" w:color="auto" w:fill="EEF2F7"/>
          </w:tcPr>
          <w:p>
            <w:pPr>
              <w:spacing w:after="20"/>
            </w:pPr>
            <w:r>
              <w:rPr>
                <w:sz w:val="19"/>
              </w:rPr>
            </w:r>
          </w:p>
        </w:tc>
        <w:tc>
          <w:tcPr>
            <w:tcW w:type="dxa" w:w="1134"/>
            <w:shd w:val="clear" w:color="auto" w:fill="EEF2F7"/>
          </w:tcPr>
          <w:p>
            <w:pPr>
              <w:spacing w:after="20"/>
            </w:pPr>
            <w:r>
              <w:rPr>
                <w:sz w:val="19"/>
              </w:rPr>
            </w:r>
          </w:p>
        </w:tc>
        <w:tc>
          <w:tcPr>
            <w:tcW w:type="dxa" w:w="1247"/>
            <w:shd w:val="clear" w:color="auto" w:fill="EEF2F7"/>
          </w:tcPr>
          <w:p>
            <w:pPr>
              <w:spacing w:after="20"/>
            </w:pPr>
            <w:r>
              <w:rPr>
                <w:sz w:val="19"/>
              </w:rPr>
            </w:r>
          </w:p>
        </w:tc>
        <w:tc>
          <w:tcPr>
            <w:tcW w:type="dxa" w:w="1247"/>
            <w:shd w:val="clear" w:color="auto" w:fill="EEF2F7"/>
          </w:tcPr>
          <w:p>
            <w:pPr>
              <w:spacing w:after="20"/>
            </w:pPr>
            <w:r>
              <w:rPr>
                <w:sz w:val="19"/>
              </w:rPr>
            </w:r>
          </w:p>
        </w:tc>
        <w:tc>
          <w:tcPr>
            <w:tcW w:type="dxa" w:w="1134"/>
            <w:shd w:val="clear" w:color="auto" w:fill="EEF2F7"/>
          </w:tcPr>
          <w:p>
            <w:pPr>
              <w:spacing w:after="20"/>
            </w:pPr>
            <w:r>
              <w:rPr>
                <w:sz w:val="19"/>
              </w:rPr>
            </w:r>
          </w:p>
        </w:tc>
        <w:tc>
          <w:tcPr>
            <w:tcW w:type="dxa" w:w="1134"/>
            <w:shd w:val="clear" w:color="auto" w:fill="EEF2F7"/>
          </w:tcPr>
          <w:p>
            <w:pPr>
              <w:spacing w:after="20"/>
            </w:pPr>
            <w:r>
              <w:rPr>
                <w:sz w:val="19"/>
              </w:rPr>
            </w:r>
          </w:p>
        </w:tc>
      </w:tr>
      <w:tr>
        <w:tc>
          <w:tcPr>
            <w:tcW w:type="dxa" w:w="1701"/>
          </w:tcPr>
          <w:p>
            <w:pPr>
              <w:spacing w:after="20"/>
            </w:pPr>
            <w:r>
              <w:rPr>
                <w:sz w:val="19"/>
              </w:rPr>
            </w:r>
          </w:p>
        </w:tc>
        <w:tc>
          <w:tcPr>
            <w:tcW w:type="dxa" w:w="1814"/>
          </w:tcPr>
          <w:p>
            <w:pPr>
              <w:spacing w:after="20"/>
            </w:pPr>
            <w:r>
              <w:rPr>
                <w:sz w:val="19"/>
              </w:rPr>
            </w:r>
          </w:p>
        </w:tc>
        <w:tc>
          <w:tcPr>
            <w:tcW w:type="dxa" w:w="1134"/>
          </w:tcPr>
          <w:p>
            <w:pPr>
              <w:spacing w:after="20"/>
            </w:pPr>
            <w:r>
              <w:rPr>
                <w:sz w:val="19"/>
              </w:rPr>
            </w:r>
          </w:p>
        </w:tc>
        <w:tc>
          <w:tcPr>
            <w:tcW w:type="dxa" w:w="1247"/>
          </w:tcPr>
          <w:p>
            <w:pPr>
              <w:spacing w:after="20"/>
            </w:pPr>
            <w:r>
              <w:rPr>
                <w:sz w:val="19"/>
              </w:rPr>
            </w:r>
          </w:p>
        </w:tc>
        <w:tc>
          <w:tcPr>
            <w:tcW w:type="dxa" w:w="1247"/>
          </w:tcPr>
          <w:p>
            <w:pPr>
              <w:spacing w:after="20"/>
            </w:pPr>
            <w:r>
              <w:rPr>
                <w:sz w:val="19"/>
              </w:rPr>
            </w:r>
          </w:p>
        </w:tc>
        <w:tc>
          <w:tcPr>
            <w:tcW w:type="dxa" w:w="1134"/>
          </w:tcPr>
          <w:p>
            <w:pPr>
              <w:spacing w:after="20"/>
            </w:pPr>
            <w:r>
              <w:rPr>
                <w:sz w:val="19"/>
              </w:rPr>
            </w:r>
          </w:p>
        </w:tc>
        <w:tc>
          <w:tcPr>
            <w:tcW w:type="dxa" w:w="1134"/>
          </w:tcPr>
          <w:p>
            <w:pPr>
              <w:spacing w:after="20"/>
            </w:pPr>
            <w:r>
              <w:rPr>
                <w:sz w:val="19"/>
              </w:rPr>
            </w:r>
          </w:p>
        </w:tc>
      </w:tr>
      <w:tr>
        <w:tc>
          <w:tcPr>
            <w:tcW w:type="dxa" w:w="1701"/>
            <w:shd w:val="clear" w:color="auto" w:fill="EEF2F7"/>
          </w:tcPr>
          <w:p>
            <w:pPr>
              <w:spacing w:after="20"/>
            </w:pPr>
            <w:r>
              <w:rPr>
                <w:sz w:val="19"/>
              </w:rPr>
            </w:r>
          </w:p>
        </w:tc>
        <w:tc>
          <w:tcPr>
            <w:tcW w:type="dxa" w:w="1814"/>
            <w:shd w:val="clear" w:color="auto" w:fill="EEF2F7"/>
          </w:tcPr>
          <w:p>
            <w:pPr>
              <w:spacing w:after="20"/>
            </w:pPr>
            <w:r>
              <w:rPr>
                <w:sz w:val="19"/>
              </w:rPr>
            </w:r>
          </w:p>
        </w:tc>
        <w:tc>
          <w:tcPr>
            <w:tcW w:type="dxa" w:w="1134"/>
            <w:shd w:val="clear" w:color="auto" w:fill="EEF2F7"/>
          </w:tcPr>
          <w:p>
            <w:pPr>
              <w:spacing w:after="20"/>
            </w:pPr>
            <w:r>
              <w:rPr>
                <w:sz w:val="19"/>
              </w:rPr>
            </w:r>
          </w:p>
        </w:tc>
        <w:tc>
          <w:tcPr>
            <w:tcW w:type="dxa" w:w="1247"/>
            <w:shd w:val="clear" w:color="auto" w:fill="EEF2F7"/>
          </w:tcPr>
          <w:p>
            <w:pPr>
              <w:spacing w:after="20"/>
            </w:pPr>
            <w:r>
              <w:rPr>
                <w:sz w:val="19"/>
              </w:rPr>
            </w:r>
          </w:p>
        </w:tc>
        <w:tc>
          <w:tcPr>
            <w:tcW w:type="dxa" w:w="1247"/>
            <w:shd w:val="clear" w:color="auto" w:fill="EEF2F7"/>
          </w:tcPr>
          <w:p>
            <w:pPr>
              <w:spacing w:after="20"/>
            </w:pPr>
            <w:r>
              <w:rPr>
                <w:sz w:val="19"/>
              </w:rPr>
            </w:r>
          </w:p>
        </w:tc>
        <w:tc>
          <w:tcPr>
            <w:tcW w:type="dxa" w:w="1134"/>
            <w:shd w:val="clear" w:color="auto" w:fill="EEF2F7"/>
          </w:tcPr>
          <w:p>
            <w:pPr>
              <w:spacing w:after="20"/>
            </w:pPr>
            <w:r>
              <w:rPr>
                <w:sz w:val="19"/>
              </w:rPr>
            </w:r>
          </w:p>
        </w:tc>
        <w:tc>
          <w:tcPr>
            <w:tcW w:type="dxa" w:w="1134"/>
            <w:shd w:val="clear" w:color="auto" w:fill="EEF2F7"/>
          </w:tcPr>
          <w:p>
            <w:pPr>
              <w:spacing w:after="20"/>
            </w:pPr>
            <w:r>
              <w:rPr>
                <w:sz w:val="19"/>
              </w:rPr>
            </w:r>
          </w:p>
        </w:tc>
      </w:tr>
      <w:tr>
        <w:tc>
          <w:tcPr>
            <w:tcW w:type="dxa" w:w="1701"/>
          </w:tcPr>
          <w:p>
            <w:pPr>
              <w:spacing w:after="20"/>
            </w:pPr>
            <w:r>
              <w:rPr>
                <w:sz w:val="19"/>
              </w:rPr>
            </w:r>
          </w:p>
        </w:tc>
        <w:tc>
          <w:tcPr>
            <w:tcW w:type="dxa" w:w="1814"/>
          </w:tcPr>
          <w:p>
            <w:pPr>
              <w:spacing w:after="20"/>
            </w:pPr>
            <w:r>
              <w:rPr>
                <w:sz w:val="19"/>
              </w:rPr>
            </w:r>
          </w:p>
        </w:tc>
        <w:tc>
          <w:tcPr>
            <w:tcW w:type="dxa" w:w="1134"/>
          </w:tcPr>
          <w:p>
            <w:pPr>
              <w:spacing w:after="20"/>
            </w:pPr>
            <w:r>
              <w:rPr>
                <w:sz w:val="19"/>
              </w:rPr>
            </w:r>
          </w:p>
        </w:tc>
        <w:tc>
          <w:tcPr>
            <w:tcW w:type="dxa" w:w="1247"/>
          </w:tcPr>
          <w:p>
            <w:pPr>
              <w:spacing w:after="20"/>
            </w:pPr>
            <w:r>
              <w:rPr>
                <w:sz w:val="19"/>
              </w:rPr>
            </w:r>
          </w:p>
        </w:tc>
        <w:tc>
          <w:tcPr>
            <w:tcW w:type="dxa" w:w="1247"/>
          </w:tcPr>
          <w:p>
            <w:pPr>
              <w:spacing w:after="20"/>
            </w:pPr>
            <w:r>
              <w:rPr>
                <w:sz w:val="19"/>
              </w:rPr>
            </w:r>
          </w:p>
        </w:tc>
        <w:tc>
          <w:tcPr>
            <w:tcW w:type="dxa" w:w="1134"/>
          </w:tcPr>
          <w:p>
            <w:pPr>
              <w:spacing w:after="20"/>
            </w:pPr>
            <w:r>
              <w:rPr>
                <w:sz w:val="19"/>
              </w:rPr>
            </w:r>
          </w:p>
        </w:tc>
        <w:tc>
          <w:tcPr>
            <w:tcW w:type="dxa" w:w="1134"/>
          </w:tcPr>
          <w:p>
            <w:pPr>
              <w:spacing w:after="20"/>
            </w:pPr>
            <w:r>
              <w:rPr>
                <w:sz w:val="19"/>
              </w:rPr>
            </w:r>
          </w:p>
        </w:tc>
      </w:tr>
    </w:tbl>
    <w:p/>
    <w:p>
      <w:r>
        <w:rPr>
          <w:b/>
        </w:rPr>
        <w:t>Preguntas generales:</w:t>
      </w:r>
    </w:p>
    <w:p>
      <w:pPr>
        <w:pStyle w:val="ListBullet"/>
      </w:pPr>
      <w:r>
        <w:rPr/>
        <w:t>¿Por qué medios llegan las solicitudes de cotización? (WhatsApp, correo, llamada, página web, referidos…)  ____________________________</w:t>
      </w:r>
    </w:p>
    <w:p>
      <w:pPr>
        <w:pStyle w:val="ListBullet"/>
      </w:pPr>
      <w:r>
        <w:rPr/>
        <w:t>¿Qué tipo de clientes cotizan más? (empresas, inmobiliarias, personas naturales, sector público)  ____________________________</w:t>
      </w:r>
    </w:p>
    <w:p>
      <w:pPr>
        <w:pStyle w:val="ListBullet"/>
      </w:pPr>
      <w:r>
        <w:rPr/>
        <w:t>¿Usan alguna plantilla para cotizar? ¿En qué programa? (Excel, Word, sistema)  ____________________________</w:t>
      </w:r>
    </w:p>
    <w:p>
      <w:pPr>
        <w:pStyle w:val="ListBullet"/>
      </w:pPr>
      <w:r>
        <w:rPr/>
        <w:t>¿Cuántas solicitudes de cotización reciben en un mes normal?  ____________________________</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s="Lato" w:eastAsia="Lato"/>
        <w:color w:val="555E6B"/>
        <w:sz w:val="16"/>
      </w:rPr>
      <w:t xml:space="preserve">Correo a Torvesa  ·  Tesis Torvesa · UPS  ·  pág. </w:t>
    </w:r>
    <w:r>
      <w:rPr>
        <w:color w:val="555E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ato" w:hAnsi="Lato" w:eastAsia="Lato"/>
      <w:color w:val="22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Poppins" w:hAnsi="Poppins" w:cs="Poppins"/>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Poppins" w:hAnsi="Poppins" w:cs="Poppins"/>
      <w:b/>
      <w:bCs/>
      <w:color w:val="B8733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Poppins" w:hAnsi="Poppins" w:cs="Poppins"/>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