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B1F3A"/>
          </w:tcPr>
          <w:p>
            <w:pPr>
              <w:spacing w:before="200"/>
            </w:pPr>
            <w:r>
              <w:rPr>
                <w:rFonts w:ascii="Poppins" w:hAnsi="Poppins" w:cs="Poppins" w:eastAsia="Poppins"/>
                <w:b/>
                <w:color w:val="B87333"/>
                <w:sz w:val="17"/>
              </w:rPr>
              <w:t>TESIS TORVESA · UPS</w:t>
            </w:r>
          </w:p>
          <w:p>
            <w:r>
              <w:rPr>
                <w:rFonts w:ascii="Poppins" w:hAnsi="Poppins" w:cs="Poppins" w:eastAsia="Poppins"/>
                <w:b/>
                <w:color w:val="FFFFFF"/>
                <w:sz w:val="44"/>
              </w:rPr>
              <w:t>Guía de búsqueda de fuentes</w:t>
            </w:r>
          </w:p>
          <w:p>
            <w:r>
              <w:rPr>
                <w:rFonts w:ascii="Lato" w:hAnsi="Lato" w:cs="Lato" w:eastAsia="Lato"/>
                <w:color w:val="E6C3A0"/>
                <w:sz w:val="22"/>
              </w:rPr>
              <w:t>Una página · cómo buscar estudios para la tesis con tu Chrome</w:t>
            </w:r>
          </w:p>
          <w:p>
            <w:pPr>
              <w:spacing w:after="200"/>
            </w:pPr>
            <w:r>
              <w:rPr>
                <w:rFonts w:ascii="Lato" w:hAnsi="Lato" w:cs="Lato" w:eastAsia="Lato"/>
                <w:color w:val="CFD8E3"/>
                <w:sz w:val="18"/>
              </w:rPr>
              <w:t>11 de octubre de 2026</w:t>
            </w:r>
          </w:p>
        </w:tc>
      </w:tr>
    </w:tbl>
    <w:p/>
    <w:p>
      <w:r>
        <w:rPr>
          <w:b/>
          <w:sz w:val="17"/>
        </w:rPr>
        <w:t>Qué hace:</w:t>
      </w:r>
      <w:r>
        <w:rPr>
          <w:sz w:val="17"/>
        </w:rPr>
        <w:t xml:space="preserve"> busca estudios en bases académicas con las consultas de la tesis (por ejemplo, «tiempo de respuesta a clientes»), guarda título, autores, año, enlace, DOI (el código único de cada artículo) y resumen, y crea una </w:t>
      </w:r>
      <w:r>
        <w:rPr>
          <w:b/>
          <w:sz w:val="17"/>
        </w:rPr>
        <w:t>ficha candidata</w:t>
      </w:r>
      <w:r>
        <w:rPr>
          <w:sz w:val="17"/>
        </w:rPr>
        <w:t xml:space="preserve"> por cada fuente. Candidata = encontrada pero todavía no leída: </w:t>
      </w:r>
      <w:r>
        <w:rPr>
          <w:b/>
          <w:sz w:val="17"/>
        </w:rPr>
        <w:t>no se cita hasta que la verifiques</w:t>
      </w:r>
      <w:r>
        <w:rPr>
          <w:sz w:val="17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567"/>
        <w:gridCol w:w="2494"/>
        <w:gridCol w:w="6350"/>
      </w:tblGrid>
      <w:tr>
        <w:tc>
          <w:tcPr>
            <w:tcW w:type="dxa" w:w="567"/>
            <w:shd w:val="clear" w:color="auto" w:fill="0B1F3A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Poppins" w:hAnsi="Poppins" w:cs="Poppins" w:eastAsia="Poppins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2494"/>
            <w:shd w:val="clear" w:color="auto" w:fill="0B1F3A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Poppins" w:hAnsi="Poppins" w:cs="Poppins" w:eastAsia="Poppins"/>
                <w:b/>
                <w:color w:val="FFFFFF"/>
                <w:sz w:val="17"/>
              </w:rPr>
              <w:t>Qué haces</w:t>
            </w:r>
          </w:p>
        </w:tc>
        <w:tc>
          <w:tcPr>
            <w:tcW w:type="dxa" w:w="6350"/>
            <w:shd w:val="clear" w:color="auto" w:fill="0B1F3A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Poppins" w:hAnsi="Poppins" w:cs="Poppins" w:eastAsia="Poppins"/>
                <w:b/>
                <w:color w:val="FFFFFF"/>
                <w:sz w:val="17"/>
              </w:rPr>
              <w:t>Cómo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Abrir una terminal en la tesis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Doble clic en </w:t>
            </w:r>
            <w:r>
              <w:rPr>
                <w:b/>
                <w:sz w:val="17"/>
              </w:rPr>
              <w:t>Claude Tesis Torvesa</w:t>
            </w:r>
            <w:r>
              <w:rPr>
                <w:sz w:val="17"/>
              </w:rPr>
              <w:t xml:space="preserve"> o, en PowerShell: </w:t>
            </w:r>
            <w:r>
              <w:rPr>
                <w:rFonts w:ascii="Consolas" w:hAnsi="Consolas" w:cs="Consolas" w:eastAsia="Consolas"/>
                <w:color w:val="0B1F3A"/>
                <w:sz w:val="17"/>
              </w:rPr>
              <w:t>cd F:\Obsidian\Tesis_Torvesa\99_Scripts\busqueda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494"/>
            <w:shd w:val="clear" w:color="auto" w:fill="EEF2F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Abrir tu Chrome de búsqueda</w:t>
            </w:r>
          </w:p>
        </w:tc>
        <w:tc>
          <w:tcPr>
            <w:tcW w:type="dxa" w:w="6350"/>
            <w:shd w:val="clear" w:color="auto" w:fill="EEF2F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 w:eastAsia="Consolas"/>
                <w:color w:val="0B1F3A"/>
                <w:sz w:val="17"/>
              </w:rPr>
              <w:t>F:\IA\venvs\tesis_rag\Scripts\python.exe iniciar_chrome.py</w:t>
            </w:r>
            <w:r>
              <w:rPr>
                <w:sz w:val="17"/>
              </w:rPr>
              <w:t xml:space="preserve"> → se abre un Chrome aparte (perfil «tesis») que recuerda tus inicios de sesión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Ver las consultas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 w:eastAsia="Consolas"/>
                <w:color w:val="0B1F3A"/>
                <w:sz w:val="17"/>
              </w:rPr>
              <w:t>…python.exe buscar.py --lista</w:t>
            </w:r>
            <w:r>
              <w:rPr>
                <w:sz w:val="17"/>
              </w:rPr>
              <w:t xml:space="preserve"> → P01 tiempo de respuesta, M05 escala SUS, N01 ley de datos, D01 bóvedas (Diego)…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494"/>
            <w:shd w:val="clear" w:color="auto" w:fill="EEF2F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Buscar</w:t>
            </w:r>
          </w:p>
        </w:tc>
        <w:tc>
          <w:tcPr>
            <w:tcW w:type="dxa" w:w="6350"/>
            <w:shd w:val="clear" w:color="auto" w:fill="EEF2F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 w:eastAsia="Consolas"/>
                <w:color w:val="0B1F3A"/>
                <w:sz w:val="17"/>
              </w:rPr>
              <w:t>…python.exe buscar.py --consulta P01 P02</w:t>
            </w:r>
            <w:r>
              <w:rPr>
                <w:sz w:val="17"/>
              </w:rPr>
              <w:t xml:space="preserve"> · o por afirmación: </w:t>
            </w:r>
            <w:r>
              <w:rPr>
                <w:rFonts w:ascii="Consolas" w:hAnsi="Consolas" w:cs="Consolas" w:eastAsia="Consolas"/>
                <w:color w:val="0B1F3A"/>
                <w:sz w:val="17"/>
              </w:rPr>
              <w:t>--afirmacion A9</w:t>
            </w:r>
            <w:r>
              <w:rPr>
                <w:sz w:val="17"/>
              </w:rPr>
              <w:t xml:space="preserve"> · o todo lo de Diego: </w:t>
            </w:r>
            <w:r>
              <w:rPr>
                <w:rFonts w:ascii="Consolas" w:hAnsi="Consolas" w:cs="Consolas" w:eastAsia="Consolas"/>
                <w:color w:val="0B1F3A"/>
                <w:sz w:val="17"/>
              </w:rPr>
              <w:t>--para Diego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Si pide iniciar sesión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Aparece una </w:t>
            </w:r>
            <w:r>
              <w:rPr>
                <w:b/>
                <w:sz w:val="17"/>
              </w:rPr>
              <w:t>ventana de aviso</w:t>
            </w:r>
            <w:r>
              <w:rPr>
                <w:sz w:val="17"/>
              </w:rPr>
              <w:t xml:space="preserve">. Inicia sesión TÚ en el Chrome de búsqueda (por ejemplo, la biblioteca UPS) y presiona </w:t>
            </w:r>
            <w:r>
              <w:rPr>
                <w:b/>
                <w:sz w:val="17"/>
              </w:rPr>
              <w:t>Aceptar</w:t>
            </w:r>
            <w:r>
              <w:rPr>
                <w:sz w:val="17"/>
              </w:rPr>
              <w:t>: el script sigue solo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494"/>
            <w:shd w:val="clear" w:color="auto" w:fill="EEF2F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Si aparece un CAPTCHA (verificación «no soy un robot»)</w:t>
            </w:r>
          </w:p>
        </w:tc>
        <w:tc>
          <w:tcPr>
            <w:tcW w:type="dxa" w:w="6350"/>
            <w:shd w:val="clear" w:color="auto" w:fill="EEF2F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La ventana de aviso te lo dice. Resuélvelo tú y presiona Aceptar. El script </w:t>
            </w:r>
            <w:r>
              <w:rPr>
                <w:b/>
                <w:sz w:val="17"/>
              </w:rPr>
              <w:t>nunca</w:t>
            </w:r>
            <w:r>
              <w:rPr>
                <w:sz w:val="17"/>
              </w:rPr>
              <w:t xml:space="preserve"> lo evade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Bases con licencia (biblioteca UPS)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 w:eastAsia="Consolas"/>
                <w:color w:val="0B1F3A"/>
                <w:sz w:val="17"/>
              </w:rPr>
              <w:t>buscar.py --consulta N01 --asistido</w:t>
            </w:r>
            <w:r>
              <w:rPr>
                <w:sz w:val="17"/>
              </w:rPr>
              <w:t xml:space="preserve">: tú buscas en la página y el script lee la lista de resultados. Los PDF los bajas </w:t>
            </w:r>
            <w:r>
              <w:rPr>
                <w:b/>
                <w:sz w:val="17"/>
              </w:rPr>
              <w:t>tú, uno por uno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494"/>
            <w:shd w:val="clear" w:color="auto" w:fill="EEF2F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Procesar los PDF descargados</w:t>
            </w:r>
          </w:p>
        </w:tc>
        <w:tc>
          <w:tcPr>
            <w:tcW w:type="dxa" w:w="6350"/>
            <w:shd w:val="clear" w:color="auto" w:fill="EEF2F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Los PDF caen en </w:t>
            </w:r>
            <w:r>
              <w:rPr>
                <w:rFonts w:ascii="Consolas" w:hAnsi="Consolas" w:cs="Consolas" w:eastAsia="Consolas"/>
                <w:color w:val="0B1F3A"/>
                <w:sz w:val="17"/>
              </w:rPr>
              <w:t>00_Inbox\descargas\</w:t>
            </w:r>
            <w:r>
              <w:rPr>
                <w:sz w:val="17"/>
              </w:rPr>
              <w:t xml:space="preserve">. Luego: </w:t>
            </w:r>
            <w:r>
              <w:rPr>
                <w:rFonts w:ascii="Consolas" w:hAnsi="Consolas" w:cs="Consolas" w:eastAsia="Consolas"/>
                <w:color w:val="0B1F3A"/>
                <w:sz w:val="17"/>
              </w:rPr>
              <w:t>…python.exe procesar_descargas.py</w:t>
            </w:r>
            <w:r>
              <w:rPr>
                <w:sz w:val="17"/>
              </w:rPr>
              <w:t xml:space="preserve"> → los mueve a </w:t>
            </w:r>
            <w:r>
              <w:rPr>
                <w:rFonts w:ascii="Consolas" w:hAnsi="Consolas" w:cs="Consolas" w:eastAsia="Consolas"/>
                <w:color w:val="0B1F3A"/>
                <w:sz w:val="17"/>
              </w:rPr>
              <w:t>02_Fuentes\_Textos\</w:t>
            </w:r>
            <w:r>
              <w:rPr>
                <w:sz w:val="17"/>
              </w:rPr>
              <w:t xml:space="preserve"> con el nombre de su ficha</w:t>
            </w:r>
          </w:p>
        </w:tc>
      </w:tr>
    </w:tbl>
    <w:p/>
    <w:p>
      <w:pPr>
        <w:pStyle w:val="Heading3"/>
      </w:pPr>
      <w:r>
        <w:rPr>
          <w:sz w:val="17"/>
        </w:rPr>
        <w:t>Dónde quedan los resultados</w:t>
      </w:r>
    </w:p>
    <w:p>
      <w:pPr>
        <w:pStyle w:val="ListBullet"/>
      </w:pPr>
      <w:r>
        <w:rPr>
          <w:b/>
          <w:sz w:val="17"/>
        </w:rPr>
        <w:t>Fichas:</w:t>
      </w:r>
      <w:r>
        <w:rPr>
          <w:sz w:val="17"/>
        </w:rPr>
        <w:t xml:space="preserve"> </w:t>
      </w:r>
      <w:r>
        <w:rPr>
          <w:rFonts w:ascii="Consolas" w:hAnsi="Consolas" w:cs="Consolas" w:eastAsia="Consolas"/>
          <w:color w:val="0B1F3A"/>
          <w:sz w:val="17"/>
        </w:rPr>
        <w:t>02_Fuentes\&lt;tema&gt;\apellido_año.md</w:t>
      </w:r>
      <w:r>
        <w:rPr>
          <w:sz w:val="17"/>
        </w:rPr>
        <w:t xml:space="preserve"> (por ejemplo, </w:t>
      </w:r>
      <w:r>
        <w:rPr>
          <w:rFonts w:ascii="Consolas" w:hAnsi="Consolas" w:cs="Consolas" w:eastAsia="Consolas"/>
          <w:color w:val="0B1F3A"/>
          <w:sz w:val="17"/>
        </w:rPr>
        <w:t>02_Fuentes\Problema\oldroyd_2011.md</w:t>
      </w:r>
      <w:r>
        <w:rPr>
          <w:sz w:val="17"/>
        </w:rPr>
        <w:t>). Se abren en Obsidian.</w:t>
      </w:r>
    </w:p>
    <w:p>
      <w:pPr>
        <w:pStyle w:val="ListBullet"/>
      </w:pPr>
      <w:r>
        <w:rPr>
          <w:b/>
          <w:sz w:val="17"/>
        </w:rPr>
        <w:t>Base completa:</w:t>
      </w:r>
      <w:r>
        <w:rPr>
          <w:sz w:val="17"/>
        </w:rPr>
        <w:t xml:space="preserve"> </w:t>
      </w:r>
      <w:r>
        <w:rPr>
          <w:rFonts w:ascii="Consolas" w:hAnsi="Consolas" w:cs="Consolas" w:eastAsia="Consolas"/>
          <w:color w:val="0B1F3A"/>
          <w:sz w:val="17"/>
        </w:rPr>
        <w:t>99_Scripts\datos\fuentes.csv</w:t>
      </w:r>
      <w:r>
        <w:rPr>
          <w:sz w:val="17"/>
        </w:rPr>
        <w:t xml:space="preserve"> (se abre en Excel) y </w:t>
      </w:r>
      <w:r>
        <w:rPr>
          <w:rFonts w:ascii="Consolas" w:hAnsi="Consolas" w:cs="Consolas" w:eastAsia="Consolas"/>
          <w:color w:val="0B1F3A"/>
          <w:sz w:val="17"/>
        </w:rPr>
        <w:t>fuentes.sqlite</w:t>
      </w:r>
      <w:r>
        <w:rPr>
          <w:sz w:val="17"/>
        </w:rPr>
        <w:t>.</w:t>
      </w:r>
    </w:p>
    <w:p>
      <w:pPr>
        <w:pStyle w:val="ListBullet"/>
      </w:pPr>
      <w:r>
        <w:rPr>
          <w:b/>
          <w:sz w:val="17"/>
        </w:rPr>
        <w:t>PDF:</w:t>
      </w:r>
      <w:r>
        <w:rPr>
          <w:sz w:val="17"/>
        </w:rPr>
        <w:t xml:space="preserve"> </w:t>
      </w:r>
      <w:r>
        <w:rPr>
          <w:rFonts w:ascii="Consolas" w:hAnsi="Consolas" w:cs="Consolas" w:eastAsia="Consolas"/>
          <w:color w:val="0B1F3A"/>
          <w:sz w:val="17"/>
        </w:rPr>
        <w:t>02_Fuentes\_Textos\</w:t>
      </w:r>
      <w:r>
        <w:rPr>
          <w:sz w:val="17"/>
        </w:rPr>
        <w:t xml:space="preserve"> solo en tu PC. No se suben a GitHub porque pueden ser de bases con licencia.</w:t>
      </w:r>
    </w:p>
    <w:p>
      <w:pPr>
        <w:pStyle w:val="Heading3"/>
      </w:pPr>
      <w:r>
        <w:rPr>
          <w:sz w:val="17"/>
        </w:rPr>
        <w:t>Para pasar una ficha a «verificada»</w:t>
      </w:r>
    </w:p>
    <w:p>
      <w:r>
        <w:rPr>
          <w:sz w:val="17"/>
        </w:rPr>
        <w:t xml:space="preserve">Abre la fuente, comprueba que el dato esté ahí, y en la ficha anota la </w:t>
      </w:r>
      <w:r>
        <w:rPr>
          <w:b/>
          <w:sz w:val="17"/>
        </w:rPr>
        <w:t>página</w:t>
      </w:r>
      <w:r>
        <w:rPr>
          <w:sz w:val="17"/>
        </w:rPr>
        <w:t xml:space="preserve">, la </w:t>
      </w:r>
      <w:r>
        <w:rPr>
          <w:b/>
          <w:sz w:val="17"/>
        </w:rPr>
        <w:t>cita textual</w:t>
      </w:r>
      <w:r>
        <w:rPr>
          <w:sz w:val="17"/>
        </w:rPr>
        <w:t xml:space="preserve">, «qué respalda» con tus palabras y cambia </w:t>
      </w:r>
      <w:r>
        <w:rPr>
          <w:rFonts w:ascii="Consolas" w:hAnsi="Consolas" w:cs="Consolas" w:eastAsia="Consolas"/>
          <w:color w:val="0B1F3A"/>
          <w:sz w:val="17"/>
        </w:rPr>
        <w:t>estado: candidata</w:t>
      </w:r>
      <w:r>
        <w:rPr>
          <w:sz w:val="17"/>
        </w:rPr>
        <w:t xml:space="preserve"> por </w:t>
      </w:r>
      <w:r>
        <w:rPr>
          <w:rFonts w:ascii="Consolas" w:hAnsi="Consolas" w:cs="Consolas" w:eastAsia="Consolas"/>
          <w:color w:val="0B1F3A"/>
          <w:sz w:val="17"/>
        </w:rPr>
        <w:t>estado: verificada</w:t>
      </w:r>
      <w:r>
        <w:rPr>
          <w:sz w:val="17"/>
        </w:rPr>
        <w:t>. Revisa también la referencia APA, que se generó automáticamente.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2F7"/>
          </w:tcPr>
          <w:p>
            <w:r>
              <w:rPr>
                <w:b/>
                <w:sz w:val="17"/>
              </w:rPr>
              <w:t>Reglas que el script respeta:</w:t>
            </w:r>
            <w:r>
              <w:rPr>
                <w:sz w:val="17"/>
              </w:rPr>
              <w:t xml:space="preserve"> usa la API cuando existe (OpenAlex, Crossref, Semantic Scholar) · hace pausas de 8–20 s entre búsquedas en páginas · no automatiza Google Académico (sus términos lo prohíben) · no evade CAPTCHAs · no descarga en masa.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cs="Lato" w:eastAsia="Lato"/>
        <w:color w:val="555E6B"/>
        <w:sz w:val="16"/>
      </w:rPr>
      <w:t xml:space="preserve">Guía de búsqueda de fuentes  ·  Tesis Torvesa · UPS  ·  pág. </w:t>
    </w:r>
    <w:r>
      <w:rPr>
        <w:color w:val="555E6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ato" w:hAnsi="Lato" w:eastAsia="Lato"/>
      <w:color w:val="22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Poppins" w:hAnsi="Poppins" w:cs="Poppins"/>
      <w:b/>
      <w:bCs/>
      <w:color w:val="0B1F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Poppins" w:hAnsi="Poppins" w:cs="Poppins"/>
      <w:b/>
      <w:bCs/>
      <w:color w:val="B87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Poppins" w:hAnsi="Poppins" w:cs="Poppins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ato" w:hAnsi="Lato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ato" w:hAnsi="Lato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