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46"/>
      </w:tblGrid>
      <w:tr>
        <w:tc>
          <w:tcPr>
            <w:tcW w:type="dxa" w:w="133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Lienzo del modelo de negocio y propuesta de valor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Borrador v0.1 · Víctor revisa y edita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2026-10-19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Para qué sirve este documento</w:t>
      </w:r>
    </w:p>
    <w:p>
      <w:r>
        <w:rPr/>
        <w:t xml:space="preserve">Resume en una hoja </w:t>
      </w:r>
      <w:r>
        <w:rPr>
          <w:b/>
        </w:rPr>
        <w:t>a quién le sirve el sistema, qué valor recibe y cómo se sostiene</w:t>
      </w:r>
      <w:r>
        <w:rPr/>
        <w:t>. Tiene dos partes, según la decisión D7:</w:t>
      </w:r>
    </w:p>
    <w:p>
      <w:pPr>
        <w:pStyle w:val="ListBullet"/>
      </w:pPr>
      <w:r>
        <w:rPr>
          <w:b/>
        </w:rPr>
        <w:t>Parte A · Propuesta de valor para Torvesa.</w:t>
      </w:r>
      <w:r>
        <w:rPr/>
        <w:t xml:space="preserve"> Es lo que entra a la tesis: el valor que el sistema da a la empresa. De ahí sale la evaluación financiera (VAN y TIR del sistema para Torvesa, sprint 5).</w:t>
      </w:r>
    </w:p>
    <w:p>
      <w:pPr>
        <w:pStyle w:val="ListBullet"/>
      </w:pPr>
      <w:r>
        <w:rPr>
          <w:b/>
        </w:rPr>
        <w:t>Parte B · Lienzo de TEAMSLASH como negocio (SaaS).</w:t>
      </w:r>
      <w:r>
        <w:rPr/>
        <w:t xml:space="preserve"> Va como </w:t>
      </w:r>
      <w:r>
        <w:rPr>
          <w:b/>
        </w:rPr>
        <w:t>anexo de contexto</w:t>
      </w:r>
      <w:r>
        <w:rPr/>
        <w:t>: no es objeto de la tesis.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46"/>
      </w:tblGrid>
      <w:tr>
        <w:tc>
          <w:tcPr>
            <w:tcW w:type="dxa" w:w="13346"/>
            <w:shd w:val="clear" w:color="auto" w:fill="EEF2F7"/>
          </w:tcPr>
          <w:p>
            <w:r>
              <w:rPr/>
              <w:t>De dónde sale: Informe Final del 22-jul y pitch decks del 22-jul (b y c), actualizados con el diseño de la tesis (bóveda en Obsidian, asistente de IA y registro verificable). Las cifras del pitch que venían del diagnóstico simulado (43 % de oportunidades perdidas; «el 80 % busca otra opción a los 15 minutos») no se usan.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Parte A · Propuesta de valor para Torvesa</w:t>
      </w:r>
    </w:p>
    <w:p>
      <w:r>
        <w:rPr/>
        <w:t xml:space="preserve">Lienzo de propuesta de valor: a la izquierda, lo que el equipo comercial </w:t>
      </w:r>
      <w:r>
        <w:rPr>
          <w:b/>
        </w:rPr>
        <w:t>hace, sufre y quiere</w:t>
      </w:r>
      <w:r>
        <w:rPr/>
        <w:t>; a la derecha, cómo responde el sistema. Cada dolor debe confirmarse en el trabajo de campo.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7087"/>
        <w:gridCol w:w="7087"/>
      </w:tblGrid>
      <w:tr>
        <w:tc>
          <w:tcPr>
            <w:tcW w:type="dxa" w:w="708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Perfil del cliente (equipo comercial de Torvesa)</w:t>
            </w:r>
          </w:p>
        </w:tc>
        <w:tc>
          <w:tcPr>
            <w:tcW w:type="dxa" w:w="708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Mapa de valor (el sistema)</w:t>
            </w:r>
          </w:p>
        </w:tc>
      </w:tr>
      <w:tr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Trabajos:</w:t>
            </w:r>
            <w:r>
              <w:rPr>
                <w:sz w:val="19"/>
              </w:rPr>
              <w:t xml:space="preserve"> recibir solicitudes; preparar cotizaciones a medida (materiales, cantidades, rubros, plazos); dar seguimiento; repartir la jornada entre la oficina y la obra.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Productos y servicios:</w:t>
            </w:r>
            <w:r>
              <w:rPr>
                <w:sz w:val="19"/>
              </w:rPr>
              <w:t xml:space="preserve"> formulario web y aviso inmediato al celular (TEAMSLASH); bóveda con fichas de clientes, plantillas y cotizaciones anteriores (Obsidian); asistente de IA que propone un borrador de cotización; registro verificable de cada interacción.</w:t>
            </w:r>
          </w:p>
        </w:tc>
      </w:tr>
      <w:tr>
        <w:tc>
          <w:tcPr>
            <w:tcW w:type="dxa" w:w="708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Dolores:</w:t>
            </w:r>
            <w:r>
              <w:rPr>
                <w:sz w:val="19"/>
              </w:rPr>
              <w:t xml:space="preserve"> las solicitudes esperan horas o días; cada cotización se arma casi desde cero; el historial vive en el celular y la memoria del vendedor; si alguien falta o se va, se pierde lo que sabía del cliente («amnesia institucional»); en obra no hay señal. [FALTA-DATO: confirmar cada dolor con I1, I3 y P2]</w:t>
            </w:r>
          </w:p>
        </w:tc>
        <w:tc>
          <w:tcPr>
            <w:tcW w:type="dxa" w:w="708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Aliviadores:</w:t>
            </w:r>
            <w:r>
              <w:rPr>
                <w:sz w:val="19"/>
              </w:rPr>
              <w:t xml:space="preserve"> aviso en segundos y responsable asignado (meta M1: menos de 15 min); borrador desde cotizaciones anteriores (M2); historial en un solo lugar, consultable sin conexión (M4); registro que no se puede alterar sin que se note (M5).</w:t>
            </w:r>
          </w:p>
        </w:tc>
      </w:tr>
      <w:tr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Ganancias esperadas:</w:t>
            </w:r>
            <w:r>
              <w:rPr>
                <w:sz w:val="19"/>
              </w:rPr>
              <w:t xml:space="preserve"> responder antes que la competencia; cotizar en menos tiempo; que cualquiera retome un cliente; reportes para la gerencia; prueba de quién atendió y qué se ofreció.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Creadores de ganancia:</w:t>
            </w:r>
            <w:r>
              <w:rPr>
                <w:sz w:val="19"/>
              </w:rPr>
              <w:t xml:space="preserve"> reportes de clientes, cotizaciones y tiempos; continuidad aunque cambie el vendedor; evidencia para resolver discrepancias y asignar el mérito comercial; cumplimiento de la LOPDP.</w:t>
            </w:r>
          </w:p>
        </w:tc>
      </w:tr>
    </w:tbl>
    <w:p/>
    <w:p>
      <w:r>
        <w:rPr>
          <w:b/>
        </w:rPr>
        <w:t>Cómo se cuantifica (sprint 5):</w:t>
      </w:r>
      <w:r>
        <w:rPr/>
        <w:t xml:space="preserve"> beneficio = horas de cotización ahorradas × costo por hora + solicitudes que dejan de perderse × margen promedio; costo = inversión inicial + costos mensuales (modelo de IA, alojamiento). [FALTA-DATO: tiempo por cotización (M2), tasa de fuga (M3), margen promedio y costo por hora — de Torvesa]</w:t>
      </w:r>
    </w:p>
    <w:p>
      <w:pPr>
        <w:pStyle w:val="Heading1"/>
        <w:pBdr>
          <w:bottom w:val="single" w:sz="10" w:space="4" w:color="B87333"/>
        </w:pBdr>
      </w:pPr>
      <w:r>
        <w:t>Parte B · Lienzo de TEAMSLASH como negocio (anexo de contexto)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551"/>
        <w:gridCol w:w="8504"/>
        <w:gridCol w:w="3118"/>
      </w:tblGrid>
      <w:tr>
        <w:tc>
          <w:tcPr>
            <w:tcW w:type="dxa" w:w="255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850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Contenido (borrador)</w:t>
            </w:r>
          </w:p>
        </w:tc>
        <w:tc>
          <w:tcPr>
            <w:tcW w:type="dxa" w:w="311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1. Segmentos de clientes</w:t>
            </w:r>
          </w:p>
        </w:tc>
        <w:tc>
          <w:tcPr>
            <w:tcW w:type="dxa" w:w="850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Pymes de construcción y servicios con equipo comercial que trabaja entre la oficina y la obra. Usuario central: coordinador comercial o gerente de ventas (perfil del Informe Final).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 Informe Final; validar con 3–5 pymes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2. Propuesta de valor</w:t>
            </w:r>
          </w:p>
        </w:tc>
        <w:tc>
          <w:tcPr>
            <w:tcW w:type="dxa" w:w="850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«Fricción cero»: aviso inmediato al celular sin aprender un software nuevo, más (nuevo) memoria comercial de la empresa y borradores de cotización con IA.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Actualizada con el diseño de la tesis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3. Canales</w:t>
            </w:r>
          </w:p>
        </w:tc>
        <w:tc>
          <w:tcPr>
            <w:tcW w:type="dxa" w:w="850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Demostración en vivo (código QR del pitch), contacto directo con gerentes de constructoras, marketing digital B2B.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 Informe Final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 Relación con clientes</w:t>
            </w:r>
          </w:p>
        </w:tc>
        <w:tc>
          <w:tcPr>
            <w:tcW w:type="dxa" w:w="850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gratuita de 14 días (plan Cimentación), soporte técnico básico, capacitación corta.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 Informe Final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 Fuentes de ingreso</w:t>
            </w:r>
          </w:p>
        </w:tc>
        <w:tc>
          <w:tcPr>
            <w:tcW w:type="dxa" w:w="850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Suscripción mensual: Estructura (Estándar) USD 49/mes; Acabados (Premium) USD 99/mes con avance de obra y reportes. [DECIDIR-VÍCTOR: ¿la bóveda y el asistente de IA van en el plan Estándar o solo en el Premium?]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Precios del Informe Final y del pitch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 Recursos clave</w:t>
            </w:r>
          </w:p>
        </w:tc>
        <w:tc>
          <w:tcPr>
            <w:tcW w:type="dxa" w:w="850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API propia (Node.js), base de datos PostgreSQL, landing, plantillas de la bóveda, conocimiento del sector, los dos fundadores.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 pitch (arquitectura)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7. Actividades clave</w:t>
            </w:r>
          </w:p>
        </w:tc>
        <w:tc>
          <w:tcPr>
            <w:tcW w:type="dxa" w:w="850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Desarrollo y mantenimiento, configuración por cliente, soporte, venta consultiva.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Borrador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8. Socios clave</w:t>
            </w:r>
          </w:p>
        </w:tc>
        <w:tc>
          <w:tcPr>
            <w:tcW w:type="dxa" w:w="850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Proveedores de alojamiento (Railway, Vercel), mensajería (Slack), Obsidian, proveedor del modelo de IA. [FALTA-FUENTE: A31, A32 y A36 — licencias y precios oficiales, los busca Diego]</w:t>
            </w:r>
          </w:p>
        </w:tc>
        <w:tc>
          <w:tcPr>
            <w:tcW w:type="dxa" w:w="311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Borrador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9. Estructura de costos</w:t>
            </w:r>
          </w:p>
        </w:tc>
        <w:tc>
          <w:tcPr>
            <w:tcW w:type="dxa" w:w="850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Fijos: alojamiento, dominio, herramientas. Variables: consumo del modelo de IA por consulta, marketing. Mayor rubro: horas de los fundadores.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cuantifica en el sprint 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3346"/>
      </w:tblGrid>
      <w:tr>
        <w:tc>
          <w:tcPr>
            <w:tcW w:type="dxa" w:w="13346"/>
            <w:shd w:val="clear" w:color="auto" w:fill="EEF2F7"/>
          </w:tcPr>
          <w:p>
            <w:r>
              <w:rPr/>
              <w:t xml:space="preserve">Cifras del pitch que </w:t>
            </w:r>
            <w:r>
              <w:rPr>
                <w:b/>
              </w:rPr>
              <w:t>no</w:t>
            </w:r>
            <w:r>
              <w:rPr/>
              <w:t xml:space="preserve"> entran a la tesis sin recalcular: punto de equilibrio con 7 clientes, VAN y TIR del 37,3 % (eran del negocio SaaS, sin la bóveda ni la IA, y con supuestos sin documentar). La tesis calcula el VAN y la TIR </w:t>
            </w:r>
            <w:r>
              <w:rPr>
                <w:b/>
              </w:rPr>
              <w:t>del sistema para Torvesa</w:t>
            </w:r>
            <w:r>
              <w:rPr/>
              <w:t xml:space="preserve"> (decisión D7).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Qué falta para la v0.2</w:t>
      </w:r>
    </w:p>
    <w:p>
      <w:r>
        <w:rPr>
          <w:b/>
          <w:color w:val="555E6B"/>
        </w:rPr>
        <w:t xml:space="preserve">☐ </w:t>
      </w:r>
      <w:r>
        <w:rPr/>
        <w:t>Víctor revisa los dos lienzos y corrige lo que no refleje el negocio</w:t>
      </w:r>
    </w:p>
    <w:p>
      <w:r>
        <w:rPr>
          <w:b/>
          <w:color w:val="555E6B"/>
        </w:rPr>
        <w:t xml:space="preserve">☐ </w:t>
      </w:r>
      <w:r>
        <w:rPr/>
        <w:t>Confirmar los dolores de la Parte A con el campo (I1, I3, P2)</w:t>
      </w:r>
    </w:p>
    <w:p>
      <w:r>
        <w:rPr>
          <w:b/>
          <w:color w:val="555E6B"/>
        </w:rPr>
        <w:t xml:space="preserve">☐ </w:t>
      </w:r>
      <w:r>
        <w:rPr/>
        <w:t>Precios oficiales de Obsidian y del modelo de IA (Diego, IA_DIEGO.md)</w:t>
      </w:r>
    </w:p>
    <w:p>
      <w:r>
        <w:rPr>
          <w:b/>
          <w:color w:val="555E6B"/>
        </w:rPr>
        <w:t xml:space="preserve">☐ </w:t>
      </w:r>
      <w:r>
        <w:rPr/>
        <w:t>Decidir en qué plan van la bóveda y el asistente de IA</w:t>
      </w:r>
    </w:p>
    <w:p>
      <w:r>
        <w:rPr>
          <w:b/>
          <w:color w:val="555E6B"/>
        </w:rPr>
        <w:t xml:space="preserve">☐ </w:t>
      </w:r>
      <w:r>
        <w:rPr/>
        <w:t>Fuente del lienzo: Osterwalder y Pigneur (2010) está citado en el Informe Final, pero no verificado</w:t>
      </w:r>
    </w:p>
    <w:sectPr w:rsidR="00FC693F" w:rsidRPr="0006063C" w:rsidSect="00034616">
      <w:footerReference w:type="default" r:id="rId9"/>
      <w:pgSz w:w="15840" w:h="12240" w:orient="landscape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Lienzo del modelo de negocio y propuesta de valor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