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1F3A"/>
          </w:tcPr>
          <w:p>
            <w:pPr>
              <w:spacing w:before="200"/>
            </w:pPr>
            <w:r>
              <w:rPr>
                <w:rFonts w:ascii="Poppins" w:hAnsi="Poppins" w:cs="Poppins" w:eastAsia="Poppins"/>
                <w:b/>
                <w:color w:val="B87333"/>
                <w:sz w:val="18"/>
              </w:rPr>
              <w:t>TESIS TORVESA · UPS</w:t>
            </w:r>
          </w:p>
          <w:p>
            <w:r>
              <w:rPr>
                <w:rFonts w:ascii="Poppins" w:hAnsi="Poppins" w:cs="Poppins" w:eastAsia="Poppins"/>
                <w:b/>
                <w:color w:val="FFFFFF"/>
                <w:sz w:val="44"/>
              </w:rPr>
              <w:t>Ingresos 2025 de Torvesa</w:t>
            </w:r>
          </w:p>
          <w:p>
            <w:r>
              <w:rPr>
                <w:rFonts w:ascii="Lato" w:hAnsi="Lato" w:cs="Lato" w:eastAsia="Lato"/>
                <w:color w:val="E6C3A0"/>
                <w:sz w:val="22"/>
              </w:rPr>
              <w:t>Análisis PROVISIONAL — pendiente de que Torvesa confirme el origen de los datos</w:t>
            </w:r>
          </w:p>
          <w:p>
            <w:pPr>
              <w:spacing w:after="200"/>
            </w:pPr>
            <w:r>
              <w:rPr>
                <w:rFonts w:ascii="Lato" w:hAnsi="Lato" w:cs="Lato" w:eastAsia="Lato"/>
                <w:color w:val="CFD8E3"/>
                <w:sz w:val="18"/>
              </w:rPr>
              <w:t>19-oct-2026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2F7"/>
          </w:tcPr>
          <w:p>
            <w:r>
              <w:rPr/>
              <w:t>Fuente: archivo Excel «Ingresos_Torvesa_2025», recibido el 19-oct-2026. Según Diego, la empresa lo envió ya organizado con IA. La copia original está guardada en la carpeta privada de datos del proyecto (no se sube a internet).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7EDE3"/>
          </w:tcPr>
          <w:p>
            <w:r>
              <w:rPr/>
              <w:t xml:space="preserve"> </w:t>
            </w:r>
            <w:r>
              <w:rPr>
                <w:b/>
              </w:rPr>
              <w:t>Provisional.</w:t>
            </w:r>
            <w:r>
              <w:rPr/>
              <w:t xml:space="preserve"> El archivo se describe a sí mismo con tres frases:</w:t>
            </w:r>
          </w:p>
          <w:p>
            <w:r>
              <w:rPr/>
              <w:t>- «Clientes ficticios» (hoja «Ingresos por cliente», celdas A2 y B4).</w:t>
            </w:r>
          </w:p>
          <w:p>
            <w:r>
              <w:rPr/>
              <w:t>- «contratos … (ficticios)» (hoja «Proyectos», celda A1).</w:t>
            </w:r>
          </w:p>
          <w:p>
            <w:r>
              <w:rPr/>
              <w:t>- «Resultado del modelo de avance de obra» (hoja «Ingresos por proyecto», celda A2).</w:t>
            </w:r>
          </w:p>
          <w:p>
            <w:r>
              <w:rPr/>
              <w:t xml:space="preserve">Diego pide a Torvesa, por correo, que confirme que los </w:t>
            </w:r>
            <w:r>
              <w:rPr>
                <w:b/>
              </w:rPr>
              <w:t>montos</w:t>
            </w:r>
            <w:r>
              <w:rPr/>
              <w:t xml:space="preserve"> son reales y que solo cambiaron los nombres. Hasta esa confirmación nada de este análisis entra en los capítulos, en el VAN/TIR ni en la matriz.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1. Resumen en 6 puntos</w:t>
      </w:r>
    </w:p>
    <w:p>
      <w:pPr>
        <w:pStyle w:val="ListNumber"/>
      </w:pPr>
      <w:r>
        <w:rPr>
          <w:b/>
        </w:rPr>
        <w:t>Tamaño del año:</w:t>
      </w:r>
      <w:r>
        <w:rPr/>
        <w:t xml:space="preserve"> USD 1.482.812 sin IVA reconocidos en 2025.</w:t>
      </w:r>
    </w:p>
    <w:p>
      <w:pPr>
        <w:pStyle w:val="ListBullet"/>
        <w:ind w:left="714"/>
      </w:pPr>
      <w:r>
        <w:rPr/>
        <w:t>Promedio de USD 123.568 por mes.</w:t>
      </w:r>
    </w:p>
    <w:p>
      <w:pPr>
        <w:pStyle w:val="ListBullet"/>
        <w:ind w:left="714"/>
      </w:pPr>
      <w:r>
        <w:rPr/>
        <w:t>16 contratos con 12 clientes: 15 firmados en 2025 y 1 que venía de 2024.</w:t>
      </w:r>
    </w:p>
    <w:p>
      <w:pPr>
        <w:pStyle w:val="ListNumber"/>
      </w:pPr>
      <w:r>
        <w:rPr>
          <w:b/>
        </w:rPr>
        <w:t>Todo es obra vial:</w:t>
      </w:r>
      <w:r>
        <w:rPr/>
        <w:t xml:space="preserve"> vías internas, adoquinado, asfalto, pavimento rígido, lastrado y cunetas. Esto coincide con el giro que dice el diseño aprobado («construcción de vías»).</w:t>
      </w:r>
    </w:p>
    <w:p>
      <w:pPr>
        <w:pStyle w:val="ListNumber"/>
      </w:pPr>
      <w:r>
        <w:rPr>
          <w:b/>
        </w:rPr>
        <w:t>El cliente que vuelve pesa mucho:</w:t>
      </w:r>
      <w:r>
        <w:rPr/>
        <w:t xml:space="preserve"> 4 de los 12 clientes (C01, C02, C09 y C10) contrataron dos veces y suman el </w:t>
      </w:r>
      <w:r>
        <w:rPr>
          <w:b/>
        </w:rPr>
        <w:t>53 %</w:t>
      </w:r>
      <w:r>
        <w:rPr/>
        <w:t xml:space="preserve"> del ingreso. Es el dato más útil para la tesis: respalda la importancia del </w:t>
      </w:r>
      <w:r>
        <w:rPr>
          <w:b/>
        </w:rPr>
        <w:t>historial del cliente</w:t>
      </w:r>
      <w:r>
        <w:rPr/>
        <w:t xml:space="preserve"> (amnesia institucional, A8).</w:t>
      </w:r>
    </w:p>
    <w:p>
      <w:pPr>
        <w:pStyle w:val="ListNumber"/>
      </w:pPr>
      <w:r>
        <w:rPr>
          <w:b/>
        </w:rPr>
        <w:t>Dependencia de pocos clientes:</w:t>
      </w:r>
    </w:p>
    <w:p>
      <w:pPr>
        <w:pStyle w:val="ListBullet"/>
        <w:ind w:left="714"/>
      </w:pPr>
      <w:r>
        <w:rPr/>
        <w:t>el cliente principal es el 26,5 %;</w:t>
      </w:r>
    </w:p>
    <w:p>
      <w:pPr>
        <w:pStyle w:val="ListBullet"/>
        <w:ind w:left="714"/>
      </w:pPr>
      <w:r>
        <w:rPr/>
        <w:t>los tres principales suman el 58,3 %;</w:t>
      </w:r>
    </w:p>
    <w:p>
      <w:pPr>
        <w:pStyle w:val="ListBullet"/>
        <w:ind w:left="714"/>
      </w:pPr>
      <w:r>
        <w:rPr/>
        <w:t>el índice Herfindahl-Hirschman (HHI) es de 1.446, en una escala de 0 a 10.000. Si se quiere calificar ese valor en la tesis, el umbral se cita con fuente: [FALTA-FUENTE].</w:t>
      </w:r>
    </w:p>
    <w:p>
      <w:pPr>
        <w:pStyle w:val="ListNumber"/>
      </w:pPr>
      <w:r>
        <w:rPr>
          <w:b/>
        </w:rPr>
        <w:t>Estacionalidad:</w:t>
      </w:r>
    </w:p>
    <w:p>
      <w:pPr>
        <w:pStyle w:val="ListBullet"/>
        <w:ind w:left="714"/>
      </w:pPr>
      <w:r>
        <w:rPr/>
        <w:t>el tercer trimestre concentra el 33 % del año (julio es el pico, con USD 207.047);</w:t>
      </w:r>
    </w:p>
    <w:p>
      <w:pPr>
        <w:pStyle w:val="ListBullet"/>
        <w:ind w:left="714"/>
      </w:pPr>
      <w:r>
        <w:rPr/>
        <w:t>enero es el mes más bajo (USD 70.164);</w:t>
      </w:r>
    </w:p>
    <w:p>
      <w:pPr>
        <w:pStyle w:val="ListBullet"/>
        <w:ind w:left="714"/>
      </w:pPr>
      <w:r>
        <w:rPr/>
        <w:t>el segundo semestre es el 59 % del año;</w:t>
      </w:r>
    </w:p>
    <w:p>
      <w:pPr>
        <w:pStyle w:val="ListBullet"/>
        <w:ind w:left="714"/>
      </w:pPr>
      <w:r>
        <w:rPr/>
        <w:t>la variación entre meses es del 28 %.</w:t>
      </w:r>
    </w:p>
    <w:p>
      <w:pPr>
        <w:pStyle w:val="ListNumber"/>
      </w:pPr>
      <w:r>
        <w:rPr>
          <w:b/>
        </w:rPr>
        <w:t>Mezcla de demanda:</w:t>
      </w:r>
    </w:p>
    <w:p>
      <w:pPr>
        <w:pStyle w:val="ListBullet"/>
        <w:ind w:left="714"/>
      </w:pPr>
      <w:r>
        <w:rPr/>
        <w:t>el 75 % es privada: inmobiliarias, fideicomisos, industrias, colegios, personas;</w:t>
      </w:r>
    </w:p>
    <w:p>
      <w:pPr>
        <w:pStyle w:val="ListBullet"/>
        <w:ind w:left="714"/>
      </w:pPr>
      <w:r>
        <w:rPr/>
        <w:t xml:space="preserve">el 25 % son </w:t>
      </w:r>
      <w:r>
        <w:rPr>
          <w:b/>
        </w:rPr>
        <w:t>subcontratos de obra pública</w:t>
      </w:r>
      <w:r>
        <w:rPr/>
        <w:t>, de dos contratistas de GAD, entre mayo y diciembre.</w:t>
      </w:r>
    </w:p>
    <w:p>
      <w:pPr>
        <w:pStyle w:val="Heading1"/>
        <w:pBdr>
          <w:bottom w:val="single" w:sz="10" w:space="4" w:color="B87333"/>
        </w:pBdr>
      </w:pPr>
      <w:r>
        <w:t>2. Ingresos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ens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E6B"/>
          <w:sz w:val="17"/>
        </w:rPr>
        <w:t>Figura 1. Ingreso mensual 2025, privada y obra pública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Mes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Total (USD)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Obra pública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Privada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70.164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70.164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Feb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87.684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87.684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Mar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112.349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112.349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Abr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114.148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114.148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May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94.365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22.374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71.991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Jun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129.034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67.158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61.876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Jul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207.047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90.961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116.086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Ago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158.697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50.200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108.497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Sep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128.820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29.821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98.998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Oct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123.673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48.744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74.929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Nov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152.367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50.408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101.959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Dic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104.464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15.259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89.206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1.482.812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374.925 (25 %)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1.107.886 (75 %)</w:t>
            </w:r>
          </w:p>
        </w:tc>
      </w:tr>
    </w:tbl>
    <w:p/>
    <w:p>
      <w:r>
        <w:rPr/>
        <w:t>Por trimestre: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Trimestre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Ingreso (USD)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% del año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T1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270.197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18 %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T2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337.547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23 %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T3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494.564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33 %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T4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380.504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26 %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3. Clientes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li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E6B"/>
          <w:sz w:val="17"/>
        </w:rPr>
        <w:t>Figura 2. Ingreso por cliente y porcentaje acumulado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Cliente</w:t>
            </w:r>
          </w:p>
        </w:tc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Segmento</w:t>
            </w:r>
          </w:p>
        </w:tc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Contratos</w:t>
            </w:r>
          </w:p>
        </w:tc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Ingreso 2025 (USD)</w:t>
            </w:r>
          </w:p>
        </w:tc>
        <w:tc>
          <w:tcPr>
            <w:tcW w:type="dxa" w:w="19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%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C01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Promotor inmobiliario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393.188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26,5</w:t>
            </w:r>
          </w:p>
        </w:tc>
      </w:tr>
      <w:tr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C03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Contratista principal de obra pública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248.631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16,8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C02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Fideicomiso inmobiliario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222.172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15,0</w:t>
            </w:r>
          </w:p>
        </w:tc>
      </w:tr>
      <w:tr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C04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Contratista principal de obra pública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126.294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8,5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C10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Constructora (subcontrato privado)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107.632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7,3</w:t>
            </w:r>
          </w:p>
        </w:tc>
      </w:tr>
      <w:tr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C05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Empresa industrial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92.419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6,2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C06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Empresa comercial y logística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71.836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4,8</w:t>
            </w:r>
          </w:p>
        </w:tc>
      </w:tr>
      <w:tr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C09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Empresa agroexportadora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63.141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4,3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C07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Institución educativa privada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54.877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3,7</w:t>
            </w:r>
          </w:p>
        </w:tc>
      </w:tr>
      <w:tr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C08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Conjunto habitacional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47.318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3,2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C12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Persona natural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33.919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2,3</w:t>
            </w:r>
          </w:p>
        </w:tc>
      </w:tr>
      <w:tr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C11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Persona natural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21.385</w:t>
            </w:r>
          </w:p>
        </w:tc>
        <w:tc>
          <w:tcPr>
            <w:tcW w:type="dxa" w:w="19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1,4</w:t>
            </w:r>
          </w:p>
        </w:tc>
      </w:tr>
    </w:tbl>
    <w:p/>
    <w:p>
      <w:r>
        <w:rPr/>
        <w:t>Los nombres de los clientes no se copian aquí: el archivo dice que son ficticios.</w:t>
      </w:r>
    </w:p>
    <w:p>
      <w:pPr>
        <w:pStyle w:val="Heading1"/>
        <w:pBdr>
          <w:bottom w:val="single" w:sz="10" w:space="4" w:color="B87333"/>
        </w:pBdr>
      </w:pPr>
      <w:r>
        <w:t>4. Contratos: lo que importa para la gestión comercial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8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E6B"/>
          <w:sz w:val="17"/>
        </w:rPr>
        <w:t>Figura 3. Contratos en el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873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Contratos firmados en 2025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15, es decir, unos 1,25 por mes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Meses con más firmas</w:t>
            </w:r>
          </w:p>
        </w:tc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enero y noviembre (3 cada uno); en abril y diciembre no se firmó ninguno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Monto por contrato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promedio USD 102.288; mediana USD 63.357; de USD 14.928 a USD 304.713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Plazo contractual</w:t>
            </w:r>
          </w:p>
        </w:tc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mediana de 85 días (de 30 a 190)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Modalidad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11 a precio unitario, con planillas mensuales o quincenales; 5 a suma alzada, con pagos por hitos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Anticipo</w:t>
            </w:r>
          </w:p>
        </w:tc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promedio 21,6 % (de 0 a 40 %); según la nota del archivo, el anticipo es un pasivo y no un ingreso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Cobro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planillas a 30–45 días; en los subcontratos de obra pública, 30 días </w:t>
            </w:r>
            <w:r>
              <w:rPr>
                <w:b/>
                <w:sz w:val="19"/>
              </w:rPr>
              <w:t>después</w:t>
            </w:r>
            <w:r>
              <w:rPr>
                <w:sz w:val="19"/>
              </w:rPr>
              <w:t xml:space="preserve"> de que el GAD pague al contratista principal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Paralizaciones</w:t>
            </w:r>
          </w:p>
        </w:tc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 contratos con prórroga, 45 días en total (apagones, paro, lluvias de octubre)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Saldo que pasa a 2026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USD 27.634 (P14)</w:t>
            </w:r>
          </w:p>
        </w:tc>
      </w:tr>
    </w:tbl>
    <w:p/>
    <w:p>
      <w:r>
        <w:rPr>
          <w:b/>
        </w:rPr>
        <w:t>Para el VAN y la TIR (D7):</w:t>
      </w:r>
      <w:r>
        <w:rPr/>
        <w:t xml:space="preserve"> el beneficio del sistema se puede expresar como «contratos adicionales ganados» o «cotizaciones atendidas a tiempo». Con estos datos, un contrato típico vale entre USD 63.000 (mediana) y USD 102.000 (promedio) en ventas. </w:t>
      </w:r>
      <w:r>
        <w:rPr>
          <w:b/>
        </w:rPr>
        <w:t>Faltan dos datos de Torvesa para cerrar el cálculo:</w:t>
      </w:r>
    </w:p>
    <w:p>
      <w:pPr>
        <w:pStyle w:val="ListNumber"/>
      </w:pPr>
      <w:r>
        <w:rPr>
          <w:b/>
        </w:rPr>
        <w:t>Cuántas cotizaciones se emitieron en 2025</w:t>
      </w:r>
      <w:r>
        <w:rPr/>
        <w:t>, para sacar la tasa de cierre: 15 contratos ÷ N cotizaciones.</w:t>
      </w:r>
    </w:p>
    <w:p>
      <w:pPr>
        <w:pStyle w:val="ListNumber"/>
      </w:pPr>
      <w:r>
        <w:rPr>
          <w:b/>
        </w:rPr>
        <w:t>El margen bruto o utilidad por contrato</w:t>
      </w:r>
      <w:r>
        <w:rPr/>
        <w:t>. El VAN se calcula sobre la utilidad, no sobre la venta.</w:t>
      </w:r>
    </w:p>
    <w:p>
      <w:pPr>
        <w:pStyle w:val="Heading1"/>
        <w:pBdr>
          <w:bottom w:val="single" w:sz="10" w:space="4" w:color="B87333"/>
        </w:pBdr>
      </w:pPr>
      <w:r>
        <w:t>5. Controles hechos al archivo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4873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Suma por proyectos = suma por clientes = resumen mensual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✓ cuadra al centavo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Monto = ejecutado 2024 + ingreso 2025 + saldo 2026, en los 16 contratos</w:t>
            </w:r>
          </w:p>
        </w:tc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IVA 15 %, anticipo = % × monto, plazo = fechas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Ingresos solo dentro del plazo de cada contrato</w:t>
            </w:r>
          </w:p>
        </w:tc>
        <w:tc>
          <w:tcPr>
            <w:tcW w:type="dxa" w:w="487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Subcontratos de obra pública ≤ 30 % del contrato principal (LOSNCP art. 79)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✓ P08 18,2 %; P12 19,7 %</w:t>
            </w:r>
          </w:p>
        </w:tc>
      </w:tr>
    </w:tbl>
    <w:p/>
    <w:p>
      <w:r>
        <w:rPr/>
        <w:t xml:space="preserve">El archivo es </w:t>
      </w:r>
      <w:r>
        <w:rPr>
          <w:b/>
        </w:rPr>
        <w:t>internamente coherente</w:t>
      </w:r>
      <w:r>
        <w:rPr/>
        <w:t>: no tiene errores de suma ni fechas imposibles.</w:t>
      </w:r>
    </w:p>
    <w:p>
      <w:pPr>
        <w:pStyle w:val="Heading1"/>
        <w:pBdr>
          <w:bottom w:val="single" w:sz="10" w:space="4" w:color="B87333"/>
        </w:pBdr>
      </w:pPr>
      <w:r>
        <w:t>6. Lo que hay que aclarar con Torvesa (además de la confirmación)</w:t>
      </w:r>
    </w:p>
    <w:p>
      <w:pPr>
        <w:pStyle w:val="ListNumber"/>
      </w:pPr>
      <w:r>
        <w:rPr>
          <w:b/>
        </w:rPr>
        <w:t>La serie mensual parece calculada, no tomada de la contabilidad.</w:t>
      </w:r>
    </w:p>
    <w:p>
      <w:pPr>
        <w:pStyle w:val="ListBullet"/>
        <w:ind w:left="714"/>
      </w:pPr>
      <w:r>
        <w:rPr/>
        <w:t>La hoja «Resumen mensual» trae un «índice de intensidad usado», armado con despachos de cemento, ventas del SRI y un factor de lluvia. El ingreso de cada mes se parece a ese índice (correlación 0,69).</w:t>
      </w:r>
    </w:p>
    <w:p>
      <w:pPr>
        <w:pStyle w:val="ListBullet"/>
        <w:ind w:left="714"/>
      </w:pPr>
      <w:r>
        <w:rPr/>
        <w:t xml:space="preserve">Unos datos contables no traen esos índices: son señal de que la IA </w:t>
      </w:r>
      <w:r>
        <w:rPr>
          <w:b/>
        </w:rPr>
        <w:t>repartió</w:t>
      </w:r>
      <w:r>
        <w:rPr/>
        <w:t xml:space="preserve"> montos con un modelo.</w:t>
      </w:r>
    </w:p>
    <w:p>
      <w:pPr>
        <w:pStyle w:val="ListBullet"/>
        <w:ind w:left="714"/>
      </w:pPr>
      <w:r>
        <w:rPr>
          <w:b/>
        </w:rPr>
        <w:t>Pregunta:</w:t>
      </w:r>
      <w:r>
        <w:rPr/>
        <w:t xml:space="preserve"> ¿el total por contrato es real y lo que se calculó es solo su reparto por meses? Si es así, para la tesis basta el total por contrato, que es lo que afecta al VAN.</w:t>
      </w:r>
    </w:p>
    <w:p>
      <w:pPr>
        <w:pStyle w:val="ListNumber"/>
      </w:pPr>
      <w:r>
        <w:rPr>
          <w:b/>
        </w:rPr>
        <w:t>El dato de diciembre del SRI se reemplazó.</w:t>
      </w:r>
      <w:r>
        <w:rPr/>
        <w:t xml:space="preserve"> Las ventas del SRI de diciembre (400,9 millones) se cambiaron por el promedio de octubre y noviembre (199,3). Es razonable, pero es un ajuste del modelo, no un dato.</w:t>
      </w:r>
    </w:p>
    <w:p>
      <w:pPr>
        <w:pStyle w:val="ListNumber"/>
      </w:pPr>
      <w:r>
        <w:rPr>
          <w:b/>
        </w:rPr>
        <w:t>No coincide con el diseño aprobado:</w:t>
      </w:r>
    </w:p>
    <w:p>
      <w:pPr>
        <w:pStyle w:val="ListBullet"/>
        <w:ind w:left="714"/>
      </w:pPr>
      <w:r>
        <w:rPr/>
        <w:t xml:space="preserve">El archivo dice </w:t>
      </w:r>
      <w:r>
        <w:rPr>
          <w:b/>
        </w:rPr>
        <w:t>33 trabajadores</w:t>
      </w:r>
      <w:r>
        <w:rPr/>
        <w:t xml:space="preserve">; el diseño aprobado dice </w:t>
      </w:r>
      <w:r>
        <w:rPr>
          <w:b/>
        </w:rPr>
        <w:t>30 colaboradores</w:t>
      </w:r>
      <w:r>
        <w:rPr/>
        <w:t>.</w:t>
      </w:r>
    </w:p>
    <w:p>
      <w:pPr>
        <w:pStyle w:val="ListBullet"/>
        <w:ind w:left="714"/>
      </w:pPr>
      <w:r>
        <w:rPr/>
        <w:t xml:space="preserve">El diseño habla de </w:t>
      </w:r>
      <w:r>
        <w:rPr>
          <w:b/>
        </w:rPr>
        <w:t>33 clientes</w:t>
      </w:r>
      <w:r>
        <w:rPr/>
        <w:t xml:space="preserve">; aquí hay </w:t>
      </w:r>
      <w:r>
        <w:rPr>
          <w:b/>
        </w:rPr>
        <w:t>12 clientes con ingreso en 2025</w:t>
      </w:r>
      <w:r>
        <w:rPr/>
        <w:t>. Pueden ser universos distintos (clientes históricos frente a clientes del año), pero hay que confirmarlo. Afecta a A2, A3 y a la población.</w:t>
      </w:r>
    </w:p>
    <w:p>
      <w:pPr>
        <w:pStyle w:val="ListNumber"/>
      </w:pPr>
      <w:r>
        <w:rPr>
          <w:b/>
        </w:rPr>
        <w:t>Ingreso por trabajador:</w:t>
      </w:r>
      <w:r>
        <w:rPr/>
        <w:t xml:space="preserve"> USD 44.934, frente a una «mediana Pichincha 2025» de USD 42.811 para empresas de 25 a 40 empleados (CIIU F41–F43) que trae el archivo. </w:t>
      </w:r>
      <w:r>
        <w:rPr>
          <w:b/>
        </w:rPr>
        <w:t>No se sabe de dónde sale esa mediana</w:t>
      </w:r>
      <w:r>
        <w:rPr/>
        <w:t>: no se usa sin fuente.</w:t>
      </w:r>
    </w:p>
    <w:p>
      <w:pPr>
        <w:pStyle w:val="ListNumber"/>
      </w:pPr>
      <w:r>
        <w:rPr>
          <w:b/>
        </w:rPr>
        <w:t>Cruce externo pendiente.</w:t>
      </w:r>
      <w:r>
        <w:rPr/>
        <w:t xml:space="preserve"> Los estados financieros de 2025 que Torvesa presentó a la Superintendencia de Compañías permiten comprobar el total anual. El portal pide captcha, así que </w:t>
      </w:r>
      <w:r>
        <w:rPr>
          <w:b/>
        </w:rPr>
        <w:t>lo consulta Víctor o Diego a mano</w:t>
      </w:r>
      <w:r>
        <w:rPr/>
        <w:t xml:space="preserve"> con el RUC del diseño aprobado.</w:t>
      </w:r>
    </w:p>
    <w:p>
      <w:pPr>
        <w:pStyle w:val="Heading1"/>
        <w:pBdr>
          <w:bottom w:val="single" w:sz="10" w:space="4" w:color="B87333"/>
        </w:pBdr>
      </w:pPr>
      <w:r>
        <w:t>7. Qué sirve para la tesis, si se confirma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Uso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Dónde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Contexto de la empresa (A1–A3)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ingreso anual, n.º de contratos, giro vial, mezcla privada/pública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I, 1.2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Justificar el historial del cliente (A8)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53 % del ingreso viene de clientes que repiten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I, 1.3 y Cap. II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Valorar una respuesta rápida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1,25 contratos por mes; monto típico de USD 63.000–102.000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I (justificación) y VAN/TIR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Escenarios del VAN/TIR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ingreso base, estacionalidad y plazos de cobro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IV (modelo de negocio)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Limitación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dependencia de pocos clientes y del ciclo de obra pública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I, alcance</w:t>
            </w:r>
          </w:p>
        </w:tc>
      </w:tr>
    </w:tbl>
    <w:p/>
    <w:p>
      <w:r>
        <w:rPr/>
        <w:t xml:space="preserve">Se citaría como: Torvesa Constructora. (2026). </w:t>
      </w:r>
      <w:r>
        <w:rPr>
          <w:i/>
        </w:rPr>
        <w:t>Ingresos reconocidos por contrato, enero–diciembre 2025</w:t>
      </w:r>
      <w:r>
        <w:rPr/>
        <w:t xml:space="preserve"> [Información interna proporcionada a los autores].</w:t>
      </w:r>
    </w:p>
    <w:p>
      <w:pPr>
        <w:pStyle w:val="Heading1"/>
        <w:pBdr>
          <w:bottom w:val="single" w:sz="10" w:space="4" w:color="B87333"/>
        </w:pBdr>
      </w:pPr>
      <w:r>
        <w:t>8. Siguiente paso</w:t>
      </w:r>
    </w:p>
    <w:p>
      <w:r>
        <w:rPr>
          <w:b/>
          <w:color w:val="555E6B"/>
        </w:rPr>
        <w:t xml:space="preserve">☐ </w:t>
      </w:r>
      <w:r>
        <w:rPr/>
        <w:t>Diego: correo a Torvesa para confirmar que los montos son reales y que solo cambiaron los nombres; aprovechar para pedir el n.º de cotizaciones de 2025, el margen bruto y aclarar 33 frente a 30 trabajadores.</w:t>
      </w:r>
    </w:p>
    <w:p>
      <w:r>
        <w:rPr>
          <w:b/>
          <w:color w:val="555E6B"/>
        </w:rPr>
        <w:t xml:space="preserve">☐ </w:t>
      </w:r>
      <w:r>
        <w:rPr/>
        <w:t>Víctor o Diego: consulta de los estados financieros de 2025 en la Superintendencia de Compañías.</w:t>
      </w:r>
    </w:p>
    <w:p>
      <w:r>
        <w:rPr>
          <w:b/>
          <w:color w:val="555E6B"/>
        </w:rPr>
        <w:t xml:space="preserve">☐ </w:t>
      </w:r>
      <w:r>
        <w:rPr/>
        <w:t>Claude, al llegar la confirmación: quitar la marca de provisional, pasar los datos a la matriz (A1–A3, A8) y al modelo del VAN/TIR.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cs="Lato" w:eastAsia="Lato"/>
        <w:color w:val="555E6B"/>
        <w:sz w:val="16"/>
      </w:rPr>
      <w:t xml:space="preserve">Ingresos 2025 de Torvesa  ·  Tesis Torvesa · UPS  ·  pág.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Poppins" w:hAnsi="Poppins" w:cs="Poppins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oppins" w:hAnsi="Poppins" w:cs="Poppins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Poppins" w:hAnsi="Poppins" w:cs="Poppin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