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CAPÍTULO I</w:t>
      </w:r>
    </w:p>
    <w:p>
      <w:pPr>
        <w:pStyle w:val="Heading1"/>
      </w:pPr>
      <w:r>
        <w:t xml:space="preserve">INTRODUCCIÓN</w:t>
      </w:r>
    </w:p>
    <w:p>
      <w:pPr>
        <w:pStyle w:val="Heading2"/>
      </w:pPr>
      <w:r>
        <w:t xml:space="preserve">Contexto general</w:t>
      </w:r>
    </w:p>
    <w:p>
      <w:r>
        <w:t xml:space="preserve">Desde 2021, el uso de la inteligencia artificial (IA) en las organizaciones ha crecido con rapidez. Según la encuesta global de McKinsey &amp; Company, el 78 % de las organizaciones usaba IA en al menos una función del negocio a finales de 2024, frente al 55 % de un año antes, y el 71 % usaba IA generativa con regularidad; marketing y ventas está entre las funciones donde más se usa (Singla et al., 2025, pp. 14 y 16). Esa encuesta, sin embargo, refleja sobre todo a empresas grandes. La estadística oficial de la Organización para la Cooperación y el Desarrollo Económicos (OCDE) muestra otra realidad: entre 2020 y 2024, la proporción de empresas que usa IA en los países miembros pasó del 5,6 % al 14 %, y en las pequeñas empresas, de 10 a 49 empleados, llega apenas al 11,9 %, frente al 40 % de las grandes (OECD, 2025a, p. 6). La brecha no se cierra: en 2026, el 54 % de las organizaciones con ingresos anuales de al menos 1.000 millones de dólares escala la IA en toda la empresa, frente a un tercio de las más pequeñas (McKinsey &amp; Company, 2026, sección «Key takeaways»).</w:t>
      </w:r>
    </w:p>
    <w:p>
      <w:r>
        <w:t xml:space="preserve">La IA generativa abarató el acceso para las empresas pequeñas: el 31 % de las pymes encuestadas por la OCDE en siete países ya la usa (OECD, 2025b, p. 6). En el área comercial, el interés se explica por el uso del tiempo: los vendedores dedican solo el 30 % de su semana a vender, y tareas como priorizar prospectos, registrar datos y generar cotizaciones pueden automatizarse (Salesforce Research, 2024, p. 13).</w:t>
      </w:r>
    </w:p>
    <w:p>
      <w:r>
        <w:t xml:space="preserve">El sector de la construcción es uno de los menos digitalizados de la economía: el índice de digitalización industrial del McKinsey Global Institute, que comparó 22 sectores de Estados Unidos con datos de 2015, lo ubica en el penúltimo lugar, solo por delante de la agricultura y la caza (Manyika et al., 2015, p. 5). El dato es antiguo y de otro país, pero la evidencia reciente de América Latina apunta en la misma dirección: en Chile, el 68 % de las micro y pequeñas empresas de construcción está en las etapas iniciales de la digitalización, el porcentaje más alto entre los sectores analizados (Cathles et al., 2023, p. 5). Su lógica empresa a empresa (B2B), su estructura fragmentada y su organización por proyectos frenan su transformación digital y le impiden recoger y aprovechar los datos de sus clientes (Samuelson y Stehn, 2023, p. 400). El freno no es la falta de inversión: entre 2020 y 2022 se invirtieron cerca de 50.000 millones de dólares en tecnología para la construcción, un 85 % más que en los tres años anteriores, pero la fragmentación, el bajo gasto en tecnología frente a otros sectores y las formas de trabajo analógicas siguen limitando su uso (McKinsey &amp; Company, 2023) </w:t>
      </w:r>
      <w:r>
        <w:rPr>
          <w:highlight w:val="yellow"/>
        </w:rPr>
        <w:t xml:space="preserve">[VERIFICAR-PÁG: McKinsey &amp; Company 2023 — confirmar si la cifra está en el texto o en la figura 1]</w:t>
      </w:r>
      <w:r>
        <w:t xml:space="preserve">.</w:t>
      </w:r>
    </w:p>
    <w:p>
      <w:r>
        <w:t xml:space="preserve">En Ecuador, la construcción sale de dos años de caída: su producción cayó 1,7 % en 2023 y 7,9 % en 2024, y en 2025 se recuperó con un crecimiento del 2,7 % (Banco Central del Ecuador [BCE], 2026, pp. 22–23). En un mercado que apenas se recupera, perder clientes por demoras en la atención pesa más. Al mismo tiempo, la IA ya forma parte del trabajo diario: en 2024, el 36 % de los trabajadores ecuatorianos encuestados por el portal Multitrabajos decía usarla en sus tareas (Redacción Empresas, 2024), y el Índice Latinoamericano de Inteligencia Artificial 2025 ubica al país en la categoría «adoptante», un nivel intermedio (Comisión Económica para América Latina y el Caribe [CEPAL], 2025). En las micro, pequeñas y medianas empresas (mipymes) ecuatorianas, en cambio, la IA se usa poco y sobre todo en marketing; las barreras principales son la falta de profesionales calificados y la falta de bases de datos estructuradas (Pérez-Campdesuñer et al., 2025, resumen).</w:t>
      </w:r>
    </w:p>
    <w:p>
      <w:r>
        <w:t xml:space="preserve">La Constructora Torvesa ilustra esta brecha: atiende a clientes que esperan respuestas rápidas, pero gestiona la relación comercial y la elaboración de cotizaciones con procesos manuales, y su personal comercial y técnico divide la jornada entre la oficina y obras con conectividad limitada (</w:t>
      </w:r>
      <w:r>
        <w:rPr>
          <w:highlight w:val="yellow"/>
        </w:rPr>
        <w:t xml:space="preserve">[FALTA-DATO: confirmar con las entrevistas en Torvesa]</w:t>
      </w:r>
      <w:r>
        <w:t xml:space="preserve">).</w:t>
      </w:r>
    </w:p>
    <w:p>
      <w:pPr>
        <w:pStyle w:val="Heading2"/>
      </w:pPr>
      <w:r>
        <w:t xml:space="preserve">La Constructora Torvesa</w:t>
      </w:r>
    </w:p>
    <w:p>
      <w:r>
        <w:t xml:space="preserve">Torvesa Constructora es una sociedad domiciliada en Quito (Pichincha) que inició actividades el 5 de agosto de 2010. Su actividad principal registrada es la construcción de carreteras, calles y otras vías para vehículos o peatones, y complementariamente ejecuta obras de ingeniería civil en general (Servicio de Rentas Internas [SRI], 2026) </w:t>
      </w:r>
      <w:r>
        <w:rPr>
          <w:highlight w:val="yellow"/>
        </w:rPr>
        <w:t xml:space="preserve">[FALTA-DATO: A1 — captura del RUC en el SRI con fecha y confirmación del giro por la empresa]</w:t>
      </w:r>
      <w:r>
        <w:t xml:space="preserve">. Cuenta con 30 colaboradores </w:t>
      </w:r>
      <w:r>
        <w:rPr>
          <w:highlight w:val="yellow"/>
        </w:rPr>
        <w:t xml:space="preserve">[FALTA-DATO: A2 — nota de respaldo firmada por la gerencia]</w:t>
      </w:r>
      <w:r>
        <w:t xml:space="preserve"> entre personal administrativo, comercial y técnico, y atiende principalmente a clientes privados —empresas, inmobiliarias y promotores de proyectos habitacionales, y personas naturales— que solicitan cotizaciones de forma directa; según los registros de la empresa, su cartera actual es de 33 clientes </w:t>
      </w:r>
      <w:r>
        <w:rPr>
          <w:highlight w:val="yellow"/>
        </w:rPr>
        <w:t xml:space="preserve">[FALTA-DATO: A3 — nota de respaldo o extracto anonimizado del registro de clientes]</w:t>
      </w:r>
      <w:r>
        <w:t xml:space="preserve">. Su oferta se vende por proyecto: cada solicitud exige una cotización o proforma a medida, cuyo detalle técnico —materiales, cantidades, rubros y plazos— hace que su elaboración dependa del conocimiento y del tiempo del vendedor que la prepara.</w:t>
      </w:r>
    </w:p>
    <w:p>
      <w:pPr>
        <w:pStyle w:val="Heading2"/>
      </w:pPr>
      <w:r>
        <w:t xml:space="preserve">Descripción del problema</w:t>
      </w:r>
    </w:p>
    <w:p>
      <w:r>
        <w:t xml:space="preserve">El problema se expresa en el tiempo de respuesta al cliente. Cada solicitud de cotización obliga al vendedor a preparar la respuesta casi desde cero: buscar cotizaciones anteriores, recalcular rubros y armar el documento a partir de archivos dispersos y de su propia memoria. Cuánto tarda cada cotización todavía no se ha medido </w:t>
      </w:r>
      <w:r>
        <w:rPr>
          <w:highlight w:val="yellow"/>
        </w:rPr>
        <w:t xml:space="preserve">[FALTA-DATO: A4 — cronometraje de las cotizaciones en Torvesa (meta M2)]</w:t>
      </w:r>
      <w:r>
        <w:t xml:space="preserve">. Como ese mismo vendedor reparte la jornada entre la oficina y la obra, la cotización solo puede prepararse al volver a la oficina, y las solicitudes quedan sin atender durante horas o días </w:t>
      </w:r>
      <w:r>
        <w:rPr>
          <w:highlight w:val="yellow"/>
        </w:rPr>
        <w:t xml:space="preserve">[FALTA-DATO: M1 — tiempo de respuesta real, con las solicitudes de los últimos tres meses]</w:t>
      </w:r>
      <w:r>
        <w:t xml:space="preserve">. A la lentitud se suma la falta de un historial: el conocimiento de cada cliente —qué pidió, qué se le ofreció, qué está pendiente— vive en el teléfono y en la memoria del vendedor asignado, y no existe un repositorio que la empresa conserve si ese vendedor está en obra sin señal o deja la organización. En este trabajo, a ese fenómeno se le llama «amnesia institucional»</w:t>
      </w:r>
      <w:ins w:id="101" w:author="Claude (IA)" w:date="2026-10-27T15:00:00Z">
        <w:r>
          <w:t xml:space="preserve">, la incapacidad de una organización de recordar y usar el conocimiento del pasado, que la rotación del personal agrava (Stark, 2024, p. 3)</w:t>
        </w:r>
      </w:ins>
      <w:r>
        <w:t xml:space="preserve"> </w:t>
      </w:r>
      <w:del w:id="102" w:author="Claude (IA)" w:date="2026-10-27T15:00:00Z">
        <w:r>
          <w:rPr>
            <w:highlight w:val="yellow"/>
          </w:rPr>
          <w:delText xml:space="preserve">[FALTA-FUENTE: A8 — anclar el término en Pollitt (2000) y Galan (2023), PDF a mano]</w:delText>
        </w:r>
      </w:del>
      <w:commentRangeStart w:id="0"/>
      <w:r/>
      <w:ins w:id="103" w:author="Claude (IA)" w:date="2026-10-27T15:00:00Z">
        <w:r>
          <w:rPr>
            <w:highlight w:val="yellow"/>
          </w:rPr>
          <w:t xml:space="preserve">[FALTA-FUENTE: A8 — Pollitt (2000) como origen del término, PDF a mano]</w:t>
        </w:r>
      </w:ins>
      <w:r/>
      <w:commentRangeEnd w:id="0"/>
      <w:r>
        <w:rPr>
          <w:rStyle w:val="CommentReference"/>
        </w:rPr>
        <w:commentReference w:id="0"/>
      </w:r>
      <w:r>
        <w:t xml:space="preserve">: el cliente debe repetir su historia o, en el peor caso, se va con la competencia. El riesgo se repite a escala del sector: como cada proyecto reúne una combinación nueva de empresas, el conocimiento se transfiere con dificultad de un proyecto a otro (Samuelson y Stehn, 2023, p. 388).</w:t>
      </w:r>
    </w:p>
    <w:p>
      <w:r>
        <w:t xml:space="preserve">Aumentar el personal o reorganizar las cargas de trabajo son decisiones de gestión que corresponden a la gerencia y no forman parte de este trabajo. El problema que aborda el proyecto es tecnológico: no existe una herramienta que conserve el conocimiento comercial de la empresa —historial de clientes, plantillas y cotizaciones anteriores— y que lo ponga a disposición del vendedor para responder en menos tiempo.</w:t>
      </w:r>
    </w:p>
    <w:p>
      <w:pPr>
        <w:pStyle w:val="Heading2"/>
      </w:pPr>
      <w:r>
        <w:t xml:space="preserve">Evidencias del problema</w:t>
      </w:r>
    </w:p>
    <w:p>
      <w:r>
        <w:t xml:space="preserve">Un estudio publicado en </w:t>
      </w:r>
      <w:r>
        <w:rPr>
          <w:i/>
        </w:rPr>
        <w:t xml:space="preserve">Harvard Business Review</w:t>
      </w:r>
      <w:r>
        <w:t xml:space="preserve"> encontró que las empresas que responden a un prospecto (</w:t>
      </w:r>
      <w:r>
        <w:rPr>
          <w:i/>
        </w:rPr>
        <w:t xml:space="preserve">lead</w:t>
      </w:r>
      <w:r>
        <w:t xml:space="preserve">) dentro de la primera hora tienen cerca de siete veces más probabilidades de calificarlo que las que tardan más (Oldroyd et al., 2011 </w:t>
      </w:r>
      <w:r>
        <w:rPr>
          <w:highlight w:val="yellow"/>
        </w:rPr>
        <w:t xml:space="preserve">[FALTA-FUENTE: A9 — confirmar «siete veces» con página en el PDF]</w:t>
      </w:r>
      <w:r>
        <w:t xml:space="preserve">). El problema sigue vigente: en 2024, una prueba con clientes incógnitos en 1.000 empresas de software que venden a otras empresas encontró que 635 nunca respondieron a una solicitud de demostración (Koushik, 2024, sección de resultados). Mientras tanto, el 83 % de los clientes espera hablar con alguien de inmediato cuando contacta a una empresa (Salesforce Research, 2022, p. 16). Ninguna de estas dos fuentes es del sector de la construcción y las dos vienen de empresas que venden software comercial, por lo que se usan como contexto y no como prueba del caso de Torvesa.</w:t>
      </w:r>
    </w:p>
    <w:p>
      <w:r>
        <w:t xml:space="preserve">La literatura revisada tampoco respalda un plazo exacto de respuesta, como una ventana de 5 a 15 minutos. Por eso, la meta de responder en menos de 15 minutos que se plantea en este trabajo es una decisión de diseño, que se justifica con los objetivos, y no un dato probado.</w:t>
      </w:r>
    </w:p>
    <w:p>
      <w:r>
        <w:t xml:space="preserve">La situación de Torvesa se mide con una línea base real, levantada en la empresa: el tiempo de respuesta a las solicitudes, el tiempo de elaboración de cada cotización, la disponibilidad del historial de los clientes y la percepción de colaboradores y clientes </w:t>
      </w:r>
      <w:r>
        <w:rPr>
          <w:highlight w:val="yellow"/>
        </w:rPr>
        <w:t xml:space="preserve">[FALTA-DATO: línea base M1–M6, trabajo de campo en Torvesa]</w:t>
      </w:r>
      <w:r>
        <w:t xml:space="preserve">. Sus resultados se presentan en el capítulo IV.</w:t>
      </w:r>
    </w:p>
    <w:p>
      <w:pPr>
        <w:pStyle w:val="Heading2"/>
      </w:pPr>
      <w:r>
        <w:t xml:space="preserve">Delimitación del problema</w:t>
      </w:r>
    </w:p>
    <w:p>
      <w:commentRangeStart w:id="1"/>
      <w:r/>
      <w:r>
        <w:t xml:space="preserve">El estudio se centra en tres procesos del área comercial de la Constructora Torvesa (Quito): la recepción de las solicitudes de los prospectos, la elaboración de la respuesta o cotización y la conservación del historial de cada cliente. Sobre el ecosistema TEAMSLASH (landing, API propia, PostgreSQL y alertas por Slack)</w:t>
      </w:r>
      <w:r/>
      <w:commentRangeEnd w:id="1"/>
      <w:r>
        <w:rPr>
          <w:rStyle w:val="CommentReference"/>
        </w:rPr>
        <w:commentReference w:id="1"/>
      </w:r>
      <w:r>
        <w:t xml:space="preserve"> se diseñan tres componentes: (a) una bóveda de conocimiento comercial en Obsidian con fichas de clientes, plantillas y cotizaciones anteriores; (b) un asistente de inteligencia artificial que consulta la bóveda y propone al vendedor un borrador de respuesta; y (c) un registro verificable de las interacciones, con huellas digitales (SHA-256) y un registro al que solo se pueden agregar entradas. La propuesta se valida con cuatro casos de prueba y una validación del diseño en operación experimental controlada de dos semanas. El trabajo se desarrolla entre octubre de 2026 y enero de 2027.</w:t>
      </w:r>
    </w:p>
    <w:p>
      <w:pPr>
        <w:pStyle w:val="Heading2"/>
      </w:pPr>
      <w:r>
        <w:t xml:space="preserve">Planteamiento del problema</w:t>
      </w:r>
    </w:p>
    <w:p>
      <w:r>
        <w:t xml:space="preserve">¿Cómo debe diseñarse un sistema de automatización que permita a la Constructora Torvesa responder a sus prospectos en el menor tiempo posible, dar continuidad a la atención con el vendedor titular y conservar un historial verificable de cada cliente?</w:t>
      </w:r>
    </w:p>
    <w:p>
      <w:pPr>
        <w:pStyle w:val="Heading2"/>
      </w:pPr>
      <w:r>
        <w:t xml:space="preserve">Referencias de esta parte (provisional)</w:t>
      </w:r>
    </w:p>
    <w:p>
      <w:pPr>
        <w:pStyle w:val="Referencia"/>
      </w:pPr>
      <w:r>
        <w:t xml:space="preserve">Banco Central del Ecuador. (2026). </w:t>
      </w:r>
      <w:r>
        <w:rPr>
          <w:i/>
        </w:rPr>
        <w:t xml:space="preserve">Informe de evolución de la economía ecuatoriana en 2025 y perspectivas 2026</w:t>
      </w:r>
      <w:r>
        <w:t xml:space="preserve">. https://contenido.bce.fin.ec/documentos/Administracion/EvolEconEcu_2025pers2026.pdf</w:t>
      </w:r>
    </w:p>
    <w:p>
      <w:pPr>
        <w:pStyle w:val="Referencia"/>
      </w:pPr>
      <w:r>
        <w:t xml:space="preserve">Cathles, A., Henríquez, P., y Suaznábar, C. (2023). </w:t>
      </w:r>
      <w:r>
        <w:rPr>
          <w:i/>
        </w:rPr>
        <w:t xml:space="preserve">Impulsando la transformación digital de la construcción: el caso del BIM en Chile</w:t>
      </w:r>
      <w:r>
        <w:t xml:space="preserve">. Banco Interamericano de Desarrollo. https://doi.org/10.18235/0004973</w:t>
      </w:r>
    </w:p>
    <w:p>
      <w:pPr>
        <w:pStyle w:val="Referencia"/>
      </w:pPr>
      <w:r>
        <w:t xml:space="preserve">Comisión Económica para América Latina y el Caribe. (2025, 3 de octubre). </w:t>
      </w:r>
      <w:r>
        <w:rPr>
          <w:i/>
        </w:rPr>
        <w:t xml:space="preserve">América Latina y el Caribe aceleran la adopción de la inteligencia artificial, aunque persisten desafíos en inversión, talento y gobernanza</w:t>
      </w:r>
      <w:r>
        <w:t xml:space="preserve"> [Comunicado de prensa]. https://www.cepal.org/en/pressreleases/latin-america-and-caribbean-accelerate-adoption-artificial-intelligence-though</w:t>
      </w:r>
    </w:p>
    <w:p>
      <w:pPr>
        <w:pStyle w:val="Referencia"/>
      </w:pPr>
      <w:r>
        <w:t xml:space="preserve">Koushik, V. (2024, 20 de marzo). </w:t>
      </w:r>
      <w:r>
        <w:rPr>
          <w:i/>
        </w:rPr>
        <w:t xml:space="preserve">We tested lead response times of 1000 B2B sales teams. Here are the results</w:t>
      </w:r>
      <w:r>
        <w:t xml:space="preserve">. RevenueHero. https://www.revenuehero.io/blog/b2b-lead-response-times</w:t>
      </w:r>
    </w:p>
    <w:p>
      <w:pPr>
        <w:pStyle w:val="Referencia"/>
      </w:pPr>
      <w:r>
        <w:t xml:space="preserve">Manyika, J., Ramaswamy, S., Khanna, S., Sarrazin, H., Pinkus, G., Sethupathy, G., y Yaffe, A. (2015). </w:t>
      </w:r>
      <w:r>
        <w:rPr>
          <w:i/>
        </w:rPr>
        <w:t xml:space="preserve">Digital America: A tale of the haves and have-mores</w:t>
      </w:r>
      <w:r>
        <w:t xml:space="preserve">. McKinsey Global Institute. https://www.mckinsey.com/industries/technology-media-and-telecommunications/our-insights/digital-america-a-tale-of-the-haves-and-have-mores</w:t>
      </w:r>
    </w:p>
    <w:p>
      <w:pPr>
        <w:pStyle w:val="Referencia"/>
      </w:pPr>
      <w:r>
        <w:t xml:space="preserve">McKinsey &amp; Company. (2023, 3 de mayo). </w:t>
      </w:r>
      <w:r>
        <w:rPr>
          <w:i/>
        </w:rPr>
        <w:t xml:space="preserve">From start-up to scale-up: Accelerating growth in construction technology</w:t>
      </w:r>
      <w:r>
        <w:t xml:space="preserve">. https://www.mckinsey.com/industries/private-capital/our-insights/from-start-up-to-scale-up-accelerating-growth-in-construction-technology</w:t>
      </w:r>
    </w:p>
    <w:p>
      <w:pPr>
        <w:pStyle w:val="Referencia"/>
      </w:pPr>
      <w:r>
        <w:t xml:space="preserve">McKinsey &amp; Company. (2026, 25 de agosto). </w:t>
      </w:r>
      <w:r>
        <w:rPr>
          <w:i/>
        </w:rPr>
        <w:t xml:space="preserve">The state of AI: Global survey 2026</w:t>
      </w:r>
      <w:r>
        <w:t xml:space="preserve">. https://www.mckinsey.com/capabilities/operations/our-insights/the-state-of-ai</w:t>
      </w:r>
    </w:p>
    <w:p>
      <w:pPr>
        <w:pStyle w:val="Referencia"/>
      </w:pPr>
      <w:r>
        <w:t xml:space="preserve">OECD. (2025a). </w:t>
      </w:r>
      <w:r>
        <w:rPr>
          <w:i/>
        </w:rPr>
        <w:t xml:space="preserve">AI adoption by small and medium-sized enterprises</w:t>
      </w:r>
      <w:r>
        <w:t xml:space="preserve">. OECD Publishing. https://www.oecd.org/content/dam/oecd/en/publications/reports/2025/12/ai-adoption-by-small-and-medium-sized-enterprises_9c48eae6/426399c1-en.pdf</w:t>
      </w:r>
    </w:p>
    <w:p>
      <w:pPr>
        <w:pStyle w:val="Referencia"/>
      </w:pPr>
      <w:r>
        <w:t xml:space="preserve">OECD. (2025b). </w:t>
      </w:r>
      <w:r>
        <w:rPr>
          <w:i/>
        </w:rPr>
        <w:t xml:space="preserve">Generative AI and the SME workforce: New survey evidence</w:t>
      </w:r>
      <w:r>
        <w:t xml:space="preserve">. OECD Publishing. https://www.oecd.org/en/publications/generative-ai-and-the-sme-workforce_2d08b99d-en.html</w:t>
      </w:r>
    </w:p>
    <w:p>
      <w:pPr>
        <w:pStyle w:val="Referencia"/>
      </w:pPr>
      <w:r>
        <w:t xml:space="preserve">Oldroyd, J. B., McElheran, K., y Elkington, D. (2011). The short life of online sales leads. </w:t>
      </w:r>
      <w:r>
        <w:rPr>
          <w:i/>
        </w:rPr>
        <w:t xml:space="preserve">Harvard Business Review, 89</w:t>
      </w:r>
      <w:r>
        <w:t xml:space="preserve">(3) </w:t>
      </w:r>
      <w:r>
        <w:rPr>
          <w:highlight w:val="yellow"/>
        </w:rPr>
        <w:t xml:space="preserve">[FALTA-FUENTE: páginas, al abrir el PDF]</w:t>
      </w:r>
      <w:r>
        <w:t xml:space="preserve">.</w:t>
      </w:r>
    </w:p>
    <w:p>
      <w:pPr>
        <w:pStyle w:val="Referencia"/>
      </w:pPr>
      <w:r>
        <w:t xml:space="preserve">Pérez-Campdesuñer, R., Sánchez-Rodríguez, A., García-Vidal, G., Martínez-Vivar, R., y De Miguel-Guzmán, M. (2025). Artificial intelligence in Ecuadorian SMEs: Drivers and obstacles to adoption. </w:t>
      </w:r>
      <w:r>
        <w:rPr>
          <w:i/>
        </w:rPr>
        <w:t xml:space="preserve">Information, 16</w:t>
      </w:r>
      <w:r>
        <w:t xml:space="preserve">(6), Artículo 443. https://doi.org/10.3390/info16060443</w:t>
      </w:r>
    </w:p>
    <w:p>
      <w:pPr>
        <w:pStyle w:val="Referencia"/>
      </w:pPr>
      <w:r>
        <w:t xml:space="preserve">Redacción Empresas. (2024, 26 de febrero). </w:t>
      </w:r>
      <w:r>
        <w:rPr>
          <w:i/>
        </w:rPr>
        <w:t xml:space="preserve">Tres de cada 10 ecuatorianos usaron IA en sus tareas diarias de trabajo</w:t>
      </w:r>
      <w:r>
        <w:t xml:space="preserve">. Primicias. https://www.primicias.ec/nota/primicias-empresas/eco-naranja/el-36-de-ecuatorianos-uso-la-ia-en-sus-tareas-diarias-dentro-del-trabajo/</w:t>
      </w:r>
    </w:p>
    <w:p>
      <w:pPr>
        <w:pStyle w:val="Referencia"/>
      </w:pPr>
      <w:r>
        <w:t xml:space="preserve">Salesforce Research. (2022). </w:t>
      </w:r>
      <w:r>
        <w:rPr>
          <w:i/>
        </w:rPr>
        <w:t xml:space="preserve">State of the connected customer</w:t>
      </w:r>
      <w:r>
        <w:t xml:space="preserve"> (5.ª ed.). Salesforce. https://www.salesforce.com/content/dam/web/en_ie/www/PDF/state-of-connected-customer-fifth-ed-comp.pdf</w:t>
      </w:r>
    </w:p>
    <w:p>
      <w:pPr>
        <w:pStyle w:val="Referencia"/>
      </w:pPr>
      <w:r>
        <w:t xml:space="preserve">Salesforce Research. (2024). </w:t>
      </w:r>
      <w:r>
        <w:rPr>
          <w:i/>
        </w:rPr>
        <w:t xml:space="preserve">State of sales</w:t>
      </w:r>
      <w:r>
        <w:t xml:space="preserve"> (6.ª ed.). Salesforce. https://www.salesforce.com/sales/state-of-sales/</w:t>
      </w:r>
    </w:p>
    <w:p>
      <w:pPr>
        <w:pStyle w:val="Referencia"/>
      </w:pPr>
      <w:r>
        <w:t xml:space="preserve">Samuelson, O., y Stehn, L. (2023). Digital transformation in construction – a review. </w:t>
      </w:r>
      <w:r>
        <w:rPr>
          <w:i/>
        </w:rPr>
        <w:t xml:space="preserve">Journal of Information Technology in Construction, 28</w:t>
      </w:r>
      <w:r>
        <w:t xml:space="preserve">, 385–404. https://doi.org/10.36680/j.itcon.2023.020</w:t>
      </w:r>
    </w:p>
    <w:p>
      <w:pPr>
        <w:pStyle w:val="Referencia"/>
      </w:pPr>
      <w:r>
        <w:t xml:space="preserve">Servicio de Rentas Internas. (2026). </w:t>
      </w:r>
      <w:r>
        <w:rPr>
          <w:i/>
        </w:rPr>
        <w:t xml:space="preserve">Consulta de RUC: Torvesa Constructora (RUC 1792266424001)</w:t>
      </w:r>
      <w:r>
        <w:t xml:space="preserve"> [Base de datos]. Recuperado el 28 de septiembre de 2026 de https://srienlinea.sri.gob.ec </w:t>
      </w:r>
      <w:r>
        <w:rPr>
          <w:highlight w:val="yellow"/>
        </w:rPr>
        <w:t xml:space="preserve">[FALTA-DATO: A1 — captura con fecha]</w:t>
      </w:r>
      <w:r>
        <w:t xml:space="preserve">.</w:t>
      </w:r>
    </w:p>
    <w:p>
      <w:pPr>
        <w:pStyle w:val="Referencia"/>
      </w:pPr>
      <w:r>
        <w:t xml:space="preserve">Singla, A., Sukharevsky, A., Yee, L., Chui, M., y Hall, B. (2025). </w:t>
      </w:r>
      <w:r>
        <w:rPr>
          <w:i/>
        </w:rPr>
        <w:t xml:space="preserve">The state of AI: How organizations are rewiring to capture value</w:t>
      </w:r>
      <w:r>
        <w:t xml:space="preserve">. McKinsey &amp; Company. https://www.mckinsey.com/capabilities/quantumblack/our-insights/the-state-of-ai-how-organizations-are-rewiring-to-capture-value</w:t>
      </w:r>
    </w:p>
    <w:p>
      <w:pPr>
        <w:pStyle w:val="Referencia"/>
        <w:rPr>
          <w:ins w:id="105" w:author="Claude (IA)" w:date="2026-10-27T15:00:00Z"/>
        </w:rPr>
      </w:pPr>
      <w:ins w:id="104" w:author="Claude (IA)" w:date="2026-10-27T15:00:00Z">
        <w:r>
          <w:t xml:space="preserve">Stark, A. (2024). Institutional amnesia in government: How much is enough? </w:t>
        </w:r>
        <w:r>
          <w:rPr>
            <w:i/>
          </w:rPr>
          <w:t xml:space="preserve">Policy Quarterly, 20</w:t>
        </w:r>
        <w:r>
          <w:t xml:space="preserve">(1), 3–9. https://doi.org/10.26686/pq.v20i1.9046</w:t>
        </w:r>
      </w:ins>
    </w:p>
    <w:sectPr w:rsidR="00FC693F" w:rsidRPr="0006063C" w:rsidSect="00034616">
      <w:footerReference w:type="default" r:id="rId9"/>
      <w:pgSz w:w="11906" w:h="16838"/>
      <w:pgMar w:top="1701" w:right="1417" w:bottom="1701" w:left="141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Claude (IA)" w:initials="CL" w:date="2026-10-27T15:17:36Z">
    <w:p>
      <w:pPr>
        <w:pStyle w:val="CommentText"/>
      </w:pPr>
      <w:r>
        <w:rPr>
          <w:rStyle w:val="CommentReference"/>
        </w:rPr>
        <w:annotationRef/>
      </w:r>
      <w:r>
        <w:t>A8 queda en parte respaldada con Stark (2024, p. 3), la misma fuente verificada que usa el cap. II. Pollitt (2000) sigue pendiente solo como origen del término.</w:t>
      </w:r>
    </w:p>
  </w:comment>
  <w:comment w:id="1" w:author="Claude (IA)" w:initials="CL" w:date="2026-10-27T15:17:36Z">
    <w:p>
      <w:pPr>
        <w:pStyle w:val="CommentText"/>
      </w:pPr>
      <w:r>
        <w:rPr>
          <w:rStyle w:val="CommentReference"/>
        </w:rPr>
        <w:annotationRef/>
      </w:r>
      <w:r>
        <w:t>Sigue abierto (27-oct): Diego no ha confirmado si TEAMSLASH guarda los datos en Google Sheets (Informe Final, p. 5) o en PostgreSQL (pitch deck del 22-jul, p. 5).</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before="0"/>
      <w:ind w:firstLine="72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jc w:val="left"/>
      <w:outlineLvl w:val="2"/>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ia">
    <w:name w:val="Referencia"/>
    <w:basedOn w:val="Normal"/>
    <w:pPr>
      <w:ind w:hanging="720" w:left="720"/>
      <w:jc w:val="left"/>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