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B1F3A"/>
          </w:tcPr>
          <w:p>
            <w:pPr>
              <w:spacing w:before="200"/>
            </w:pPr>
            <w:r>
              <w:rPr>
                <w:rFonts w:ascii="Poppins" w:hAnsi="Poppins" w:cs="Poppins" w:eastAsia="Poppins"/>
                <w:b/>
                <w:color w:val="B87333"/>
                <w:sz w:val="18"/>
              </w:rPr>
              <w:t>TESIS TORVESA · UPS</w:t>
            </w:r>
          </w:p>
          <w:p>
            <w:r>
              <w:rPr>
                <w:rFonts w:ascii="Poppins" w:hAnsi="Poppins" w:cs="Poppins" w:eastAsia="Poppins"/>
                <w:b/>
                <w:color w:val="FFFFFF"/>
                <w:sz w:val="44"/>
              </w:rPr>
              <w:t>Planteamiento del problema</w:t>
            </w:r>
          </w:p>
          <w:p>
            <w:r>
              <w:rPr>
                <w:rFonts w:ascii="Lato" w:hAnsi="Lato" w:cs="Lato" w:eastAsia="Lato"/>
                <w:color w:val="E6C3A0"/>
                <w:sz w:val="22"/>
              </w:rPr>
              <w:t>Atención comercial en la Constructora Torvesa · Anexo H · v0.1 (borrador)</w:t>
            </w:r>
          </w:p>
          <w:p>
            <w:pPr>
              <w:spacing w:after="200"/>
            </w:pPr>
            <w:r>
              <w:rPr>
                <w:rFonts w:ascii="Lato" w:hAnsi="Lato" w:cs="Lato" w:eastAsia="Lato"/>
                <w:color w:val="CFD8E3"/>
                <w:sz w:val="18"/>
              </w:rPr>
              <w:t>27 de octubre de 2026</w:t>
            </w:r>
          </w:p>
        </w:tc>
      </w:tr>
    </w:tbl>
    <w:p/>
    <w:p>
      <w:pPr>
        <w:pStyle w:val="Heading1"/>
        <w:pBdr>
          <w:bottom w:val="single" w:sz="10" w:space="4" w:color="B87333"/>
        </w:pBdr>
      </w:pPr>
      <w:r>
        <w:t>Control del documento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3376"/>
        <w:gridCol w:w="6370"/>
      </w:tblGrid>
      <w:tr>
        <w:tc>
          <w:tcPr>
            <w:tcW w:type="dxa" w:w="3376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6370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Contenido</w:t>
            </w:r>
          </w:p>
        </w:tc>
      </w:tr>
      <w:tr>
        <w:tc>
          <w:tcPr>
            <w:tcW w:type="dxa" w:w="337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Identificador</w:t>
            </w:r>
          </w:p>
        </w:tc>
        <w:tc>
          <w:tcPr>
            <w:tcW w:type="dxa" w:w="637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ELIC-H-01</w:t>
            </w:r>
          </w:p>
        </w:tc>
      </w:tr>
      <w:tr>
        <w:tc>
          <w:tcPr>
            <w:tcW w:type="dxa" w:w="337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Responsables</w:t>
            </w:r>
          </w:p>
        </w:tc>
        <w:tc>
          <w:tcPr>
            <w:tcW w:type="dxa" w:w="637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Víctor Segura Heredia · Diego Bermeo Torres</w:t>
            </w:r>
          </w:p>
        </w:tc>
      </w:tr>
      <w:tr>
        <w:tc>
          <w:tcPr>
            <w:tcW w:type="dxa" w:w="337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Fecha de emisión</w:t>
            </w:r>
          </w:p>
        </w:tc>
        <w:tc>
          <w:tcPr>
            <w:tcW w:type="dxa" w:w="637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27-oct-2026</w:t>
            </w:r>
          </w:p>
        </w:tc>
      </w:tr>
      <w:tr>
        <w:tc>
          <w:tcPr>
            <w:tcW w:type="dxa" w:w="337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Versión</w:t>
            </w:r>
          </w:p>
        </w:tc>
        <w:tc>
          <w:tcPr>
            <w:tcW w:type="dxa" w:w="637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0.1 (borrador para revisión)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1375"/>
        <w:gridCol w:w="1375"/>
        <w:gridCol w:w="6995"/>
      </w:tblGrid>
      <w:tr>
        <w:tc>
          <w:tcPr>
            <w:tcW w:type="dxa" w:w="1375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1375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6995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Cambios</w:t>
            </w:r>
          </w:p>
        </w:tc>
      </w:tr>
      <w:tr>
        <w:tc>
          <w:tcPr>
            <w:tcW w:type="dxa" w:w="137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0.1</w:t>
            </w:r>
          </w:p>
        </w:tc>
        <w:tc>
          <w:tcPr>
            <w:tcW w:type="dxa" w:w="137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27-oct-2026</w:t>
            </w:r>
          </w:p>
        </w:tc>
        <w:tc>
          <w:tcPr>
            <w:tcW w:type="dxa" w:w="699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Primera versión, con la información del proyecto integrador TEAMSLASH y de la revisión documental de octubre de 2026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2924"/>
        <w:gridCol w:w="3947"/>
        <w:gridCol w:w="1437"/>
        <w:gridCol w:w="1437"/>
      </w:tblGrid>
      <w:tr>
        <w:tc>
          <w:tcPr>
            <w:tcW w:type="dxa" w:w="2924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Rol</w:t>
            </w:r>
          </w:p>
        </w:tc>
        <w:tc>
          <w:tcPr>
            <w:tcW w:type="dxa" w:w="3947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Nombre</w:t>
            </w:r>
          </w:p>
        </w:tc>
        <w:tc>
          <w:tcPr>
            <w:tcW w:type="dxa" w:w="1437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Firma</w:t>
            </w:r>
          </w:p>
        </w:tc>
        <w:tc>
          <w:tcPr>
            <w:tcW w:type="dxa" w:w="1437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Fecha</w:t>
            </w:r>
          </w:p>
        </w:tc>
      </w:tr>
      <w:tr>
        <w:tc>
          <w:tcPr>
            <w:tcW w:type="dxa" w:w="29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Patrocinador (organización beneficiaria)</w:t>
            </w:r>
          </w:p>
        </w:tc>
        <w:tc>
          <w:tcPr>
            <w:tcW w:type="dxa" w:w="394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Gerencia de Torvesa Constructora</w:t>
            </w:r>
          </w:p>
        </w:tc>
        <w:tc>
          <w:tcPr>
            <w:tcW w:type="dxa" w:w="1437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1437"/>
          </w:tcPr>
          <w:p>
            <w:pPr>
              <w:spacing w:after="20"/>
            </w:pPr>
            <w:r>
              <w:rPr>
                <w:sz w:val="19"/>
              </w:rPr>
            </w:r>
          </w:p>
        </w:tc>
      </w:tr>
      <w:tr>
        <w:tc>
          <w:tcPr>
            <w:tcW w:type="dxa" w:w="292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Revisión académica</w:t>
            </w:r>
          </w:p>
        </w:tc>
        <w:tc>
          <w:tcPr>
            <w:tcW w:type="dxa" w:w="3947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Ing. Tania Chicaiza, tutora</w:t>
            </w:r>
          </w:p>
        </w:tc>
        <w:tc>
          <w:tcPr>
            <w:tcW w:type="dxa" w:w="1437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1437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</w:p>
        </w:tc>
      </w:tr>
      <w:tr>
        <w:tc>
          <w:tcPr>
            <w:tcW w:type="dxa" w:w="292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Equipo del proyecto</w:t>
            </w:r>
          </w:p>
        </w:tc>
        <w:tc>
          <w:tcPr>
            <w:tcW w:type="dxa" w:w="394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Víctor Segura Heredia · Diego Bermeo Torres</w:t>
            </w:r>
          </w:p>
        </w:tc>
        <w:tc>
          <w:tcPr>
            <w:tcW w:type="dxa" w:w="1437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1437"/>
          </w:tcPr>
          <w:p>
            <w:pPr>
              <w:spacing w:after="20"/>
            </w:pPr>
            <w:r>
              <w:rPr>
                <w:sz w:val="19"/>
              </w:rPr>
            </w:r>
          </w:p>
        </w:tc>
      </w:tr>
    </w:tbl>
    <w:p/>
    <w:p>
      <w:pPr>
        <w:pStyle w:val="Heading1"/>
        <w:pBdr>
          <w:bottom w:val="single" w:sz="10" w:space="4" w:color="B87333"/>
        </w:pBdr>
      </w:pPr>
      <w:r>
        <w:t>Definición del problema</w:t>
      </w:r>
    </w:p>
    <w:p>
      <w:r>
        <w:rPr/>
        <w:t>El equipo comercial de la Constructora Torvesa no tiene un lugar común donde lleguen, se asignen y se registren las solicitudes de cotización. Las solicitudes entran por el WhatsApp personal de socios e ingenieros que pasan buena parte de la jornada en obra, por lo que nadie se entera a tiempo, nadie queda como responsable y cada cotización se prepara casi desde cero. El conocimiento de cada cliente queda en la memoria y en el celular de quien lo atendió. El problema es medible por tres vías:</w:t>
      </w:r>
    </w:p>
    <w:p>
      <w:pPr>
        <w:pStyle w:val="ListBullet"/>
      </w:pPr>
      <w:r>
        <w:rPr/>
        <w:t>el tiempo hasta el primer contacto;</w:t>
      </w:r>
    </w:p>
    <w:p>
      <w:pPr>
        <w:pStyle w:val="ListBullet"/>
      </w:pPr>
      <w:r>
        <w:rPr/>
        <w:t>el tiempo de elaboración de cada cotización;</w:t>
      </w:r>
    </w:p>
    <w:p>
      <w:pPr>
        <w:pStyle w:val="ListBullet"/>
      </w:pPr>
      <w:r>
        <w:rPr/>
        <w:t>la capacidad de recuperar el historial de un cliente cuando su vendedor no está.</w:t>
      </w:r>
    </w:p>
    <w:p>
      <w:r>
        <w:rPr/>
        <w:t>Las tres se miden en la línea base de la tesis.</w:t>
      </w:r>
    </w:p>
    <w:p>
      <w:pPr>
        <w:pStyle w:val="Heading1"/>
        <w:pBdr>
          <w:bottom w:val="single" w:sz="10" w:space="4" w:color="B87333"/>
        </w:pBdr>
      </w:pPr>
      <w:r>
        <w:t>Antecedentes del problema</w:t>
      </w:r>
    </w:p>
    <w:p>
      <w:pPr>
        <w:pStyle w:val="ListBullet"/>
      </w:pPr>
      <w:r>
        <w:rPr>
          <w:b/>
        </w:rPr>
        <w:t>Organización:</w:t>
      </w:r>
    </w:p>
    <w:p>
      <w:pPr>
        <w:pStyle w:val="ListBullet"/>
        <w:ind w:left="714"/>
      </w:pPr>
      <w:r>
        <w:rPr/>
        <w:t>Torvesa es una constructora de Quito, activa desde 2010;</w:t>
      </w:r>
    </w:p>
    <w:p>
      <w:pPr>
        <w:pStyle w:val="ListBullet"/>
        <w:ind w:left="714"/>
      </w:pPr>
      <w:r>
        <w:rPr/>
        <w:t>tiene 30 colaboradores y 33 clientes en cartera, datos por confirmar con la nota de la gerencia;</w:t>
      </w:r>
    </w:p>
    <w:p>
      <w:pPr>
        <w:pStyle w:val="ListBullet"/>
        <w:ind w:left="714"/>
      </w:pPr>
      <w:r>
        <w:rPr/>
        <w:t>vende por proyecto: cada solicitud exige una cotización a medida.</w:t>
      </w:r>
    </w:p>
    <w:p>
      <w:pPr>
        <w:pStyle w:val="ListBullet"/>
      </w:pPr>
      <w:r>
        <w:rPr>
          <w:b/>
        </w:rPr>
        <w:t>Cómo se generó el problema:</w:t>
      </w:r>
      <w:r>
        <w:rPr/>
        <w:t xml:space="preserve"> la estructura es esbelta y el mismo personal vende y supervisa obra. El problema surge del choque entre ambos roles (Informe Final de TEAMSLASH, 22-jul-2026, p. 7).</w:t>
      </w:r>
    </w:p>
    <w:p>
      <w:pPr>
        <w:pStyle w:val="ListBullet"/>
      </w:pPr>
      <w:r>
        <w:rPr>
          <w:b/>
        </w:rPr>
        <w:t>Censo de validación de mayo de 2026,</w:t>
      </w:r>
      <w:r>
        <w:rPr/>
        <w:t xml:space="preserve"> aplicado a cinco personas de la gerencia y la operación:</w:t>
      </w:r>
    </w:p>
    <w:p>
      <w:pPr>
        <w:pStyle w:val="ListBullet"/>
        <w:ind w:left="714"/>
      </w:pPr>
      <w:r>
        <w:rPr/>
        <w:t>más de la mitad de la jornada transcurre en obra;</w:t>
      </w:r>
    </w:p>
    <w:p>
      <w:pPr>
        <w:pStyle w:val="ListBullet"/>
        <w:ind w:left="714"/>
      </w:pPr>
      <w:r>
        <w:rPr/>
        <w:t>el 40 % revisa los mensajes de clientes cada 3 o 4 horas y el 20 % solo al llegar a casa;</w:t>
      </w:r>
    </w:p>
    <w:p>
      <w:pPr>
        <w:pStyle w:val="ListBullet"/>
        <w:ind w:left="714"/>
      </w:pPr>
      <w:r>
        <w:rPr/>
        <w:t>4 de 5 reciben clientes en su WhatsApp personal.</w:t>
      </w:r>
    </w:p>
    <w:p>
      <w:pPr>
        <w:pStyle w:val="ListBullet"/>
      </w:pPr>
      <w:r>
        <w:rPr>
          <w:b/>
        </w:rPr>
        <w:t>Respuesta previa:</w:t>
      </w:r>
      <w:r>
        <w:rPr/>
        <w:t xml:space="preserve"> el equipo construyó el MVP TEAMSLASH:</w:t>
      </w:r>
    </w:p>
    <w:p>
      <w:pPr>
        <w:pStyle w:val="ListBullet"/>
        <w:ind w:left="714"/>
      </w:pPr>
      <w:r>
        <w:rPr/>
        <w:t>formulario web;</w:t>
      </w:r>
    </w:p>
    <w:p>
      <w:pPr>
        <w:pStyle w:val="ListBullet"/>
        <w:ind w:left="714"/>
      </w:pPr>
      <w:r>
        <w:rPr/>
        <w:t>API propia;</w:t>
      </w:r>
    </w:p>
    <w:p>
      <w:pPr>
        <w:pStyle w:val="ListBullet"/>
        <w:ind w:left="714"/>
      </w:pPr>
      <w:r>
        <w:rPr/>
        <w:t>registro con semáforo;</w:t>
      </w:r>
    </w:p>
    <w:p>
      <w:pPr>
        <w:pStyle w:val="ListBullet"/>
        <w:ind w:left="714"/>
      </w:pPr>
      <w:r>
        <w:rPr/>
        <w:t>alertas en Slack.</w:t>
      </w:r>
    </w:p>
    <w:p>
      <w:r>
        <w:rPr/>
        <w:t>En simulacros, la alerta llegó en 3,2 segundos y el primer contacto se dio entre 4 y 11 minutos. Aún faltan tres cosas: conservar el conocimiento (plantillas y cotizaciones anteriores), ayudar a preparar las cotizaciones y dar una prueba verificable del historial. Eso es lo que aborda la tesis.</w:t>
      </w:r>
    </w:p>
    <w:p>
      <w:pPr>
        <w:pStyle w:val="ListBullet"/>
      </w:pPr>
      <w:r>
        <w:rPr>
          <w:b/>
        </w:rPr>
        <w:t>Contexto sectorial:</w:t>
      </w:r>
    </w:p>
    <w:p>
      <w:pPr>
        <w:pStyle w:val="ListBullet"/>
        <w:ind w:left="714"/>
      </w:pPr>
      <w:r>
        <w:rPr/>
        <w:t>la construcción es uno de los sectores menos digitalizados (Manyika et al., 2015, p. 5);</w:t>
      </w:r>
    </w:p>
    <w:p>
      <w:pPr>
        <w:pStyle w:val="ListBullet"/>
        <w:ind w:left="714"/>
      </w:pPr>
      <w:r>
        <w:rPr/>
        <w:t>en Ecuador su producción cayó en 2023 y 2024 y se recuperó un 2,7 % en 2025 (Banco Central del Ecuador, 2026, pp. 22–23), un mercado donde perder clientes pesa más.</w:t>
      </w:r>
    </w:p>
    <w:p>
      <w:pPr>
        <w:pStyle w:val="Heading1"/>
        <w:pBdr>
          <w:bottom w:val="single" w:sz="10" w:space="4" w:color="B87333"/>
        </w:pBdr>
      </w:pPr>
      <w:r>
        <w:t>Alcance del problema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5764"/>
        <w:gridCol w:w="3982"/>
      </w:tblGrid>
      <w:tr>
        <w:tc>
          <w:tcPr>
            <w:tcW w:type="dxa" w:w="5764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Incluido</w:t>
            </w:r>
          </w:p>
        </w:tc>
        <w:tc>
          <w:tcPr>
            <w:tcW w:type="dxa" w:w="3982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Excluido</w:t>
            </w:r>
          </w:p>
        </w:tc>
      </w:tr>
      <w:tr>
        <w:tc>
          <w:tcPr>
            <w:tcW w:type="dxa" w:w="576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Recepción de solicitudes de clientes privados por cualquier canal</w:t>
            </w:r>
          </w:p>
        </w:tc>
        <w:tc>
          <w:tcPr>
            <w:tcW w:type="dxa" w:w="398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Contratación pública (Sistema Nacional de Contratación Pública)</w:t>
            </w:r>
          </w:p>
        </w:tc>
      </w:tr>
      <w:tr>
        <w:tc>
          <w:tcPr>
            <w:tcW w:type="dxa" w:w="576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Primer contacto, asignación y seguimiento hasta ganar o perder la solicitud</w:t>
            </w:r>
          </w:p>
        </w:tc>
        <w:tc>
          <w:tcPr>
            <w:tcW w:type="dxa" w:w="3982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Negociación, facturación y cobranza</w:t>
            </w:r>
          </w:p>
        </w:tc>
      </w:tr>
      <w:tr>
        <w:tc>
          <w:tcPr>
            <w:tcW w:type="dxa" w:w="576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Elaboración de cotizaciones</w:t>
            </w:r>
          </w:p>
        </w:tc>
        <w:tc>
          <w:tcPr>
            <w:tcW w:type="dxa" w:w="398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Ejecución y avance de obra</w:t>
            </w:r>
          </w:p>
        </w:tc>
      </w:tr>
      <w:tr>
        <w:tc>
          <w:tcPr>
            <w:tcW w:type="dxa" w:w="576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Conservación y recuperación del historial de cada cliente</w:t>
            </w:r>
          </w:p>
        </w:tc>
        <w:tc>
          <w:tcPr>
            <w:tcW w:type="dxa" w:w="3982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Dotación de personal y cargas de trabajo (decisiones de la gerencia)</w:t>
            </w:r>
          </w:p>
        </w:tc>
      </w:tr>
      <w:tr>
        <w:tc>
          <w:tcPr>
            <w:tcW w:type="dxa" w:w="576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Tratamiento de los datos personales de los clientes (LOPDP)</w:t>
            </w:r>
          </w:p>
        </w:tc>
        <w:tc>
          <w:tcPr>
            <w:tcW w:type="dxa" w:w="398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</w:tbl>
    <w:p/>
    <w:p>
      <w:r>
        <w:rPr>
          <w:b/>
        </w:rPr>
        <w:t>Área afectada:</w:t>
      </w:r>
    </w:p>
    <w:p>
      <w:pPr>
        <w:pStyle w:val="ListBullet"/>
      </w:pPr>
      <w:r>
        <w:rPr/>
        <w:t>el área comercial y técnica que atiende clientes;</w:t>
      </w:r>
    </w:p>
    <w:p>
      <w:pPr>
        <w:pStyle w:val="ListBullet"/>
      </w:pPr>
      <w:r>
        <w:rPr/>
        <w:t>la gerencia, que necesita visibilidad del embudo.</w:t>
      </w:r>
    </w:p>
    <w:p>
      <w:r>
        <w:rPr>
          <w:b/>
        </w:rPr>
        <w:t>Restricciones del análisis:</w:t>
      </w:r>
    </w:p>
    <w:p>
      <w:pPr>
        <w:pStyle w:val="ListBullet"/>
      </w:pPr>
      <w:r>
        <w:rPr/>
        <w:t>el trabajo de campo depende de la autorización de la empresa;</w:t>
      </w:r>
    </w:p>
    <w:p>
      <w:pPr>
        <w:pStyle w:val="ListBullet"/>
      </w:pPr>
      <w:r>
        <w:rPr/>
        <w:t>los datos del diagnóstico simulado (N = 30) no se usan.</w:t>
      </w:r>
    </w:p>
    <w:p>
      <w:pPr>
        <w:pStyle w:val="Heading1"/>
        <w:pBdr>
          <w:bottom w:val="single" w:sz="10" w:space="4" w:color="B87333"/>
        </w:pBdr>
      </w:pPr>
      <w:r>
        <w:t>Impacto actual o potencial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1451"/>
        <w:gridCol w:w="3811"/>
        <w:gridCol w:w="4484"/>
      </w:tblGrid>
      <w:tr>
        <w:tc>
          <w:tcPr>
            <w:tcW w:type="dxa" w:w="1451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Área de impacto</w:t>
            </w:r>
          </w:p>
        </w:tc>
        <w:tc>
          <w:tcPr>
            <w:tcW w:type="dxa" w:w="3811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Descripción</w:t>
            </w:r>
          </w:p>
        </w:tc>
        <w:tc>
          <w:tcPr>
            <w:tcW w:type="dxa" w:w="4484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Métrica cuantitativa o cualitativa</w:t>
            </w:r>
          </w:p>
        </w:tc>
      </w:tr>
      <w:tr>
        <w:tc>
          <w:tcPr>
            <w:tcW w:type="dxa" w:w="145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Ventas</w:t>
            </w:r>
          </w:p>
        </w:tc>
        <w:tc>
          <w:tcPr>
            <w:tcW w:type="dxa" w:w="381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Clientes que se van con la competencia antes del primer contacto</w:t>
            </w:r>
          </w:p>
        </w:tc>
        <w:tc>
          <w:tcPr>
            <w:tcW w:type="dxa" w:w="448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Fuga previa al primer contacto, en % de solicitudes (M3). El antecedente estimó USD 15.000 de facturación potencial por cliente perdido; es una estimación interna sin respaldo documental que se reemplaza por la medición</w:t>
            </w:r>
          </w:p>
        </w:tc>
      </w:tr>
      <w:tr>
        <w:tc>
          <w:tcPr>
            <w:tcW w:type="dxa" w:w="145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Eficiencia operativa</w:t>
            </w:r>
          </w:p>
        </w:tc>
        <w:tc>
          <w:tcPr>
            <w:tcW w:type="dxa" w:w="381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Solicitudes desatendidas durante horas o días</w:t>
            </w:r>
          </w:p>
        </w:tc>
        <w:tc>
          <w:tcPr>
            <w:tcW w:type="dxa" w:w="448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Mediana del tiempo de primer contacto en minutos (M1). El antecedente la sitúa en más de 24 horas, según lo que reportó el personal</w:t>
            </w:r>
          </w:p>
        </w:tc>
      </w:tr>
      <w:tr>
        <w:tc>
          <w:tcPr>
            <w:tcW w:type="dxa" w:w="145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Eficiencia operativa</w:t>
            </w:r>
          </w:p>
        </w:tc>
        <w:tc>
          <w:tcPr>
            <w:tcW w:type="dxa" w:w="381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Cotizaciones preparadas casi desde cero</w:t>
            </w:r>
          </w:p>
        </w:tc>
        <w:tc>
          <w:tcPr>
            <w:tcW w:type="dxa" w:w="448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Minutos por cotización (M2), con cronometraje</w:t>
            </w:r>
          </w:p>
        </w:tc>
      </w:tr>
      <w:tr>
        <w:tc>
          <w:tcPr>
            <w:tcW w:type="dxa" w:w="145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Conocimiento organizacional</w:t>
            </w:r>
          </w:p>
        </w:tc>
        <w:tc>
          <w:tcPr>
            <w:tcW w:type="dxa" w:w="381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El historial se pierde si el vendedor no está o se va</w:t>
            </w:r>
          </w:p>
        </w:tc>
        <w:tc>
          <w:tcPr>
            <w:tcW w:type="dxa" w:w="448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Tiempo y aciertos en una prueba de recuperación del historial (M4)</w:t>
            </w:r>
          </w:p>
        </w:tc>
      </w:tr>
      <w:tr>
        <w:tc>
          <w:tcPr>
            <w:tcW w:type="dxa" w:w="145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Control de la gerencia</w:t>
            </w:r>
          </w:p>
        </w:tc>
        <w:tc>
          <w:tcPr>
            <w:tcW w:type="dxa" w:w="381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 se sabe cuántas cotizaciones hay en curso ni por qué se pierden clientes</w:t>
            </w:r>
          </w:p>
        </w:tc>
        <w:tc>
          <w:tcPr>
            <w:tcW w:type="dxa" w:w="448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Existencia de un reporte semanal con estados y motivos de pérdida (cualitativa)</w:t>
            </w:r>
          </w:p>
        </w:tc>
      </w:tr>
      <w:tr>
        <w:tc>
          <w:tcPr>
            <w:tcW w:type="dxa" w:w="145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Legal</w:t>
            </w:r>
          </w:p>
        </w:tc>
        <w:tc>
          <w:tcPr>
            <w:tcW w:type="dxa" w:w="381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Datos de clientes en celulares y chats personales, fuera del control de la empresa</w:t>
            </w:r>
          </w:p>
        </w:tc>
        <w:tc>
          <w:tcPr>
            <w:tcW w:type="dxa" w:w="448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Cumplimiento de la LOPDP: consentimiento, minimización y plazos de conservación (lista de verificación)</w:t>
            </w:r>
          </w:p>
        </w:tc>
      </w:tr>
      <w:tr>
        <w:tc>
          <w:tcPr>
            <w:tcW w:type="dxa" w:w="145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Satisfacción del cliente</w:t>
            </w:r>
          </w:p>
        </w:tc>
        <w:tc>
          <w:tcPr>
            <w:tcW w:type="dxa" w:w="381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Esperas largas y respuestas incompletas</w:t>
            </w:r>
          </w:p>
        </w:tc>
        <w:tc>
          <w:tcPr>
            <w:tcW w:type="dxa" w:w="448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Tiempo de respuesta percibido y calidad de la cotización (encuesta I2 a los 33 clientes)</w:t>
            </w:r>
          </w:p>
        </w:tc>
      </w:tr>
    </w:tbl>
    <w:p/>
    <w:p>
      <w:pPr>
        <w:pStyle w:val="Heading1"/>
        <w:pBdr>
          <w:bottom w:val="single" w:sz="10" w:space="4" w:color="B87333"/>
        </w:pBdr>
      </w:pPr>
      <w:r>
        <w:t>Interesados afectados</w:t>
      </w:r>
    </w:p>
    <w:p>
      <w:r>
        <w:rPr>
          <w:b/>
        </w:rPr>
        <w:t>Registro de interesados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3388"/>
        <w:gridCol w:w="2088"/>
        <w:gridCol w:w="1376"/>
        <w:gridCol w:w="1376"/>
        <w:gridCol w:w="1519"/>
      </w:tblGrid>
      <w:tr>
        <w:tc>
          <w:tcPr>
            <w:tcW w:type="dxa" w:w="3388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Nombre o grupo</w:t>
            </w:r>
          </w:p>
        </w:tc>
        <w:tc>
          <w:tcPr>
            <w:tcW w:type="dxa" w:w="2088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Rol</w:t>
            </w:r>
          </w:p>
        </w:tc>
        <w:tc>
          <w:tcPr>
            <w:tcW w:type="dxa" w:w="1376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Poder</w:t>
            </w:r>
          </w:p>
        </w:tc>
        <w:tc>
          <w:tcPr>
            <w:tcW w:type="dxa" w:w="1376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Interés</w:t>
            </w:r>
          </w:p>
        </w:tc>
        <w:tc>
          <w:tcPr>
            <w:tcW w:type="dxa" w:w="151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Contacto</w:t>
            </w:r>
          </w:p>
        </w:tc>
      </w:tr>
      <w:tr>
        <w:tc>
          <w:tcPr>
            <w:tcW w:type="dxa" w:w="338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Gerencia y representante legal</w:t>
            </w:r>
          </w:p>
        </w:tc>
        <w:tc>
          <w:tcPr>
            <w:tcW w:type="dxa" w:w="208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Patrocinador; decide la adopción</w:t>
            </w:r>
          </w:p>
        </w:tc>
        <w:tc>
          <w:tcPr>
            <w:tcW w:type="dxa" w:w="137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Alto</w:t>
            </w:r>
          </w:p>
        </w:tc>
        <w:tc>
          <w:tcPr>
            <w:tcW w:type="dxa" w:w="137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Alto</w:t>
            </w:r>
          </w:p>
        </w:tc>
        <w:tc>
          <w:tcPr>
            <w:tcW w:type="dxa" w:w="151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Por medio de Diego Bermeo</w:t>
            </w:r>
          </w:p>
        </w:tc>
      </w:tr>
      <w:tr>
        <w:tc>
          <w:tcPr>
            <w:tcW w:type="dxa" w:w="338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Coordinadores comerciales, socios e ingenieros</w:t>
            </w:r>
          </w:p>
        </w:tc>
        <w:tc>
          <w:tcPr>
            <w:tcW w:type="dxa" w:w="208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Usuarios principales</w:t>
            </w:r>
          </w:p>
        </w:tc>
        <w:tc>
          <w:tcPr>
            <w:tcW w:type="dxa" w:w="137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Medio</w:t>
            </w:r>
          </w:p>
        </w:tc>
        <w:tc>
          <w:tcPr>
            <w:tcW w:type="dxa" w:w="137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Alto</w:t>
            </w:r>
          </w:p>
        </w:tc>
        <w:tc>
          <w:tcPr>
            <w:tcW w:type="dxa" w:w="151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En la empresa</w:t>
            </w:r>
          </w:p>
        </w:tc>
      </w:tr>
      <w:tr>
        <w:tc>
          <w:tcPr>
            <w:tcW w:type="dxa" w:w="338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Personal que prepara cotizaciones</w:t>
            </w:r>
          </w:p>
        </w:tc>
        <w:tc>
          <w:tcPr>
            <w:tcW w:type="dxa" w:w="208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Usuarios</w:t>
            </w:r>
          </w:p>
        </w:tc>
        <w:tc>
          <w:tcPr>
            <w:tcW w:type="dxa" w:w="137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Medio</w:t>
            </w:r>
          </w:p>
        </w:tc>
        <w:tc>
          <w:tcPr>
            <w:tcW w:type="dxa" w:w="137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Alto</w:t>
            </w:r>
          </w:p>
        </w:tc>
        <w:tc>
          <w:tcPr>
            <w:tcW w:type="dxa" w:w="151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En la empresa</w:t>
            </w:r>
          </w:p>
        </w:tc>
      </w:tr>
      <w:tr>
        <w:tc>
          <w:tcPr>
            <w:tcW w:type="dxa" w:w="338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Resto de colaboradores</w:t>
            </w:r>
          </w:p>
        </w:tc>
        <w:tc>
          <w:tcPr>
            <w:tcW w:type="dxa" w:w="208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Usuarios secundarios</w:t>
            </w:r>
          </w:p>
        </w:tc>
        <w:tc>
          <w:tcPr>
            <w:tcW w:type="dxa" w:w="137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Bajo</w:t>
            </w:r>
          </w:p>
        </w:tc>
        <w:tc>
          <w:tcPr>
            <w:tcW w:type="dxa" w:w="137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Medio</w:t>
            </w:r>
          </w:p>
        </w:tc>
        <w:tc>
          <w:tcPr>
            <w:tcW w:type="dxa" w:w="151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Encuesta I1</w:t>
            </w:r>
          </w:p>
        </w:tc>
      </w:tr>
      <w:tr>
        <w:tc>
          <w:tcPr>
            <w:tcW w:type="dxa" w:w="338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Clientes y prospectos</w:t>
            </w:r>
          </w:p>
        </w:tc>
        <w:tc>
          <w:tcPr>
            <w:tcW w:type="dxa" w:w="208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Afectados; titulares de los datos</w:t>
            </w:r>
          </w:p>
        </w:tc>
        <w:tc>
          <w:tcPr>
            <w:tcW w:type="dxa" w:w="137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Medio</w:t>
            </w:r>
          </w:p>
        </w:tc>
        <w:tc>
          <w:tcPr>
            <w:tcW w:type="dxa" w:w="137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Medio</w:t>
            </w:r>
          </w:p>
        </w:tc>
        <w:tc>
          <w:tcPr>
            <w:tcW w:type="dxa" w:w="151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Encuesta I2</w:t>
            </w:r>
          </w:p>
        </w:tc>
      </w:tr>
      <w:tr>
        <w:tc>
          <w:tcPr>
            <w:tcW w:type="dxa" w:w="338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Tutora de la UPS</w:t>
            </w:r>
          </w:p>
        </w:tc>
        <w:tc>
          <w:tcPr>
            <w:tcW w:type="dxa" w:w="208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Revisión académica</w:t>
            </w:r>
          </w:p>
        </w:tc>
        <w:tc>
          <w:tcPr>
            <w:tcW w:type="dxa" w:w="137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Alto</w:t>
            </w:r>
          </w:p>
        </w:tc>
        <w:tc>
          <w:tcPr>
            <w:tcW w:type="dxa" w:w="137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Medio</w:t>
            </w:r>
          </w:p>
        </w:tc>
        <w:tc>
          <w:tcPr>
            <w:tcW w:type="dxa" w:w="151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Revisiones programadas</w:t>
            </w:r>
          </w:p>
        </w:tc>
      </w:tr>
      <w:tr>
        <w:tc>
          <w:tcPr>
            <w:tcW w:type="dxa" w:w="338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Superintendencia de Protección de Datos Personales</w:t>
            </w:r>
          </w:p>
        </w:tc>
        <w:tc>
          <w:tcPr>
            <w:tcW w:type="dxa" w:w="208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Regulador</w:t>
            </w:r>
          </w:p>
        </w:tc>
        <w:tc>
          <w:tcPr>
            <w:tcW w:type="dxa" w:w="137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Alto</w:t>
            </w:r>
          </w:p>
        </w:tc>
        <w:tc>
          <w:tcPr>
            <w:tcW w:type="dxa" w:w="137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Bajo</w:t>
            </w:r>
          </w:p>
        </w:tc>
        <w:tc>
          <w:tcPr>
            <w:tcW w:type="dxa" w:w="151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</w:tbl>
    <w:p/>
    <w:p>
      <w:r>
        <w:rPr/>
        <w:t>Los datos de contacto de las personas no se incluyen en este documento; se guardan aparte, según la LOPDP.</w:t>
      </w:r>
    </w:p>
    <w:p>
      <w:r>
        <w:rPr>
          <w:b/>
        </w:rPr>
        <w:t>Mapa de interesados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1455"/>
        <w:gridCol w:w="2340"/>
        <w:gridCol w:w="2976"/>
        <w:gridCol w:w="2976"/>
      </w:tblGrid>
      <w:tr>
        <w:tc>
          <w:tcPr>
            <w:tcW w:type="dxa" w:w="1455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</w:r>
          </w:p>
        </w:tc>
        <w:tc>
          <w:tcPr>
            <w:tcW w:type="dxa" w:w="2340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Interés bajo</w:t>
            </w:r>
          </w:p>
        </w:tc>
        <w:tc>
          <w:tcPr>
            <w:tcW w:type="dxa" w:w="2976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Interés medio</w:t>
            </w:r>
          </w:p>
        </w:tc>
        <w:tc>
          <w:tcPr>
            <w:tcW w:type="dxa" w:w="2976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Interés alto</w:t>
            </w:r>
          </w:p>
        </w:tc>
      </w:tr>
      <w:tr>
        <w:tc>
          <w:tcPr>
            <w:tcW w:type="dxa" w:w="145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Influencia alta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Regulador: mantener satisfecho</w:t>
            </w:r>
          </w:p>
        </w:tc>
        <w:tc>
          <w:tcPr>
            <w:tcW w:type="dxa" w:w="297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Tutora: mantener satisfecha</w:t>
            </w:r>
          </w:p>
        </w:tc>
        <w:tc>
          <w:tcPr>
            <w:tcW w:type="dxa" w:w="297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Gerencia: gestionar de cerca</w:t>
            </w:r>
          </w:p>
        </w:tc>
      </w:tr>
      <w:tr>
        <w:tc>
          <w:tcPr>
            <w:tcW w:type="dxa" w:w="1455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Influencia media</w:t>
            </w:r>
          </w:p>
        </w:tc>
        <w:tc>
          <w:tcPr>
            <w:tcW w:type="dxa" w:w="234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Proveedores de plataformas: monitorear</w:t>
            </w:r>
          </w:p>
        </w:tc>
        <w:tc>
          <w:tcPr>
            <w:tcW w:type="dxa" w:w="297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Clientes: mantener informados</w:t>
            </w:r>
          </w:p>
        </w:tc>
        <w:tc>
          <w:tcPr>
            <w:tcW w:type="dxa" w:w="297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Coordinadores y quienes cotizan: gestionar de cerca e informar</w:t>
            </w:r>
          </w:p>
        </w:tc>
      </w:tr>
      <w:tr>
        <w:tc>
          <w:tcPr>
            <w:tcW w:type="dxa" w:w="145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Influencia baja</w:t>
            </w:r>
          </w:p>
        </w:tc>
        <w:tc>
          <w:tcPr>
            <w:tcW w:type="dxa" w:w="234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97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Resto de colaboradores: monitorear</w:t>
            </w:r>
          </w:p>
        </w:tc>
        <w:tc>
          <w:tcPr>
            <w:tcW w:type="dxa" w:w="297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</w:tbl>
    <w:p/>
    <w:p>
      <w:pPr>
        <w:pStyle w:val="Heading1"/>
        <w:pBdr>
          <w:bottom w:val="single" w:sz="10" w:space="4" w:color="B87333"/>
        </w:pBdr>
      </w:pPr>
      <w:r>
        <w:t>Periodo del problema</w:t>
      </w:r>
    </w:p>
    <w:p>
      <w:r>
        <w:rPr/>
        <w:t>El problema existe desde antes de mayo de 2026, cuando el censo lo confirmó; su inicio exacto no está documentado. Persiste porque no hay ningún cambio de proceso en marcha: el MVP TEAMSLASH está desplegado, pero su uso real no se ha medido. No hay datos para saber si empeora; la muestra documental de los últimos tres meses (solo fechas y horas) permitirá ver su evolución reciente.</w:t>
      </w:r>
    </w:p>
    <w:p>
      <w:pPr>
        <w:pStyle w:val="Heading1"/>
        <w:pBdr>
          <w:bottom w:val="single" w:sz="10" w:space="4" w:color="B87333"/>
        </w:pBdr>
      </w:pPr>
      <w:r>
        <w:t>Ubicación del problema</w:t>
      </w:r>
    </w:p>
    <w:p>
      <w:pPr>
        <w:pStyle w:val="ListBullet"/>
      </w:pPr>
      <w:r>
        <w:rPr>
          <w:b/>
        </w:rPr>
        <w:t>Física:</w:t>
      </w:r>
    </w:p>
    <w:p>
      <w:pPr>
        <w:pStyle w:val="ListBullet"/>
        <w:ind w:left="714"/>
      </w:pPr>
      <w:r>
        <w:rPr/>
        <w:t>la oficina de Torvesa en Quito, donde se preparan las cotizaciones;</w:t>
      </w:r>
    </w:p>
    <w:p>
      <w:pPr>
        <w:pStyle w:val="ListBullet"/>
        <w:ind w:left="714"/>
      </w:pPr>
      <w:r>
        <w:rPr/>
        <w:t>los frentes de obra, donde se reciben los mensajes con conectividad limitada.</w:t>
      </w:r>
    </w:p>
    <w:p>
      <w:pPr>
        <w:pStyle w:val="ListBullet"/>
      </w:pPr>
      <w:r>
        <w:rPr>
          <w:b/>
        </w:rPr>
        <w:t>Virtual:</w:t>
      </w:r>
    </w:p>
    <w:p>
      <w:pPr>
        <w:pStyle w:val="ListBullet"/>
        <w:ind w:left="714"/>
      </w:pPr>
      <w:r>
        <w:rPr/>
        <w:t>los WhatsApp personales y las redes sociales, donde llegan las solicitudes;</w:t>
      </w:r>
    </w:p>
    <w:p>
      <w:pPr>
        <w:pStyle w:val="ListBullet"/>
        <w:ind w:left="714"/>
      </w:pPr>
      <w:r>
        <w:rPr/>
        <w:t>los celulares, chats y cuadernos, donde quedan las cotizaciones anteriores.</w:t>
      </w:r>
    </w:p>
    <w:p>
      <w:pPr>
        <w:pStyle w:val="Heading1"/>
        <w:pBdr>
          <w:bottom w:val="single" w:sz="10" w:space="4" w:color="B87333"/>
        </w:pBdr>
      </w:pPr>
      <w:r>
        <w:t>Análisis de brechas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2621"/>
        <w:gridCol w:w="3563"/>
        <w:gridCol w:w="3563"/>
      </w:tblGrid>
      <w:tr>
        <w:tc>
          <w:tcPr>
            <w:tcW w:type="dxa" w:w="2621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Estado actual</w:t>
            </w:r>
          </w:p>
        </w:tc>
        <w:tc>
          <w:tcPr>
            <w:tcW w:type="dxa" w:w="3563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Estado deseado</w:t>
            </w:r>
          </w:p>
        </w:tc>
        <w:tc>
          <w:tcPr>
            <w:tcW w:type="dxa" w:w="3563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Acciones necesarias</w:t>
            </w:r>
          </w:p>
        </w:tc>
      </w:tr>
      <w:tr>
        <w:tc>
          <w:tcPr>
            <w:tcW w:type="dxa" w:w="262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Las solicitudes llegan a celulares personales y nadie se entera a tiempo</w:t>
            </w:r>
          </w:p>
        </w:tc>
        <w:tc>
          <w:tcPr>
            <w:tcW w:type="dxa" w:w="3563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Cada solicitud queda registrada y su responsable recibe una alerta en segundos</w:t>
            </w:r>
          </w:p>
        </w:tc>
        <w:tc>
          <w:tcPr>
            <w:tcW w:type="dxa" w:w="3563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Formulario con registro automático, registro manual de las que llegan por WhatsApp y alerta con enlace a la ficha (RQ-01 a RQ-03)</w:t>
            </w:r>
          </w:p>
        </w:tc>
      </w:tr>
      <w:tr>
        <w:tc>
          <w:tcPr>
            <w:tcW w:type="dxa" w:w="262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 hay responsable ni estado de cada solicitud</w:t>
            </w:r>
          </w:p>
        </w:tc>
        <w:tc>
          <w:tcPr>
            <w:tcW w:type="dxa" w:w="3563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Cada solicitud tiene un responsable, un estado y, si se pierde, un motivo</w:t>
            </w:r>
          </w:p>
        </w:tc>
        <w:tc>
          <w:tcPr>
            <w:tcW w:type="dxa" w:w="3563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Asignación, estados, recordatorio a los 15 minutos y reporte semanal (RQ-04 a RQ-08)</w:t>
            </w:r>
          </w:p>
        </w:tc>
      </w:tr>
      <w:tr>
        <w:tc>
          <w:tcPr>
            <w:tcW w:type="dxa" w:w="262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Cada cotización empieza casi de cero</w:t>
            </w:r>
          </w:p>
        </w:tc>
        <w:tc>
          <w:tcPr>
            <w:tcW w:type="dxa" w:w="3563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Cotizaciones a partir de plantillas y de cotizaciones anteriores, con un borrador asistido y revisado por una persona</w:t>
            </w:r>
          </w:p>
        </w:tc>
        <w:tc>
          <w:tcPr>
            <w:tcW w:type="dxa" w:w="3563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Bóveda con plantillas y asistente de IA con revisión humana (RQ-10 a RQ-12)</w:t>
            </w:r>
          </w:p>
        </w:tc>
      </w:tr>
      <w:tr>
        <w:tc>
          <w:tcPr>
            <w:tcW w:type="dxa" w:w="262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El historial vive en la memoria de cada vendedor</w:t>
            </w:r>
          </w:p>
        </w:tc>
        <w:tc>
          <w:tcPr>
            <w:tcW w:type="dxa" w:w="3563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Cualquier miembro autorizado recupera el historial de un cliente en minutos</w:t>
            </w:r>
          </w:p>
        </w:tc>
        <w:tc>
          <w:tcPr>
            <w:tcW w:type="dxa" w:w="3563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Ficha por cliente con código, búsqueda y consulta sin conexión (RQ-09, RQ-13, RQ-14)</w:t>
            </w:r>
          </w:p>
        </w:tc>
      </w:tr>
      <w:tr>
        <w:tc>
          <w:tcPr>
            <w:tcW w:type="dxa" w:w="262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 hay prueba de quién atendió, qué se ofreció y cuándo</w:t>
            </w:r>
          </w:p>
        </w:tc>
        <w:tc>
          <w:tcPr>
            <w:tcW w:type="dxa" w:w="3563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Registro de eventos que no puede alterarse sin que se note</w:t>
            </w:r>
          </w:p>
        </w:tc>
        <w:tc>
          <w:tcPr>
            <w:tcW w:type="dxa" w:w="3563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Registro de solo agregar con huellas SHA-256 y verificación (RQ-15 a RQ-17)</w:t>
            </w:r>
          </w:p>
        </w:tc>
      </w:tr>
      <w:tr>
        <w:tc>
          <w:tcPr>
            <w:tcW w:type="dxa" w:w="262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Datos de clientes en canales personales</w:t>
            </w:r>
          </w:p>
        </w:tc>
        <w:tc>
          <w:tcPr>
            <w:tcW w:type="dxa" w:w="3563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Tratamiento conforme a la LOPDP</w:t>
            </w:r>
          </w:p>
        </w:tc>
        <w:tc>
          <w:tcPr>
            <w:tcW w:type="dxa" w:w="3563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Consentimiento, cuentas individuales, plazos de conservación y solo códigos hacia la IA (RQ-18 a RQ-21)</w:t>
            </w:r>
          </w:p>
        </w:tc>
      </w:tr>
    </w:tbl>
    <w:p/>
    <w:p>
      <w:pPr>
        <w:pStyle w:val="Heading1"/>
        <w:pBdr>
          <w:bottom w:val="single" w:sz="10" w:space="4" w:color="B87333"/>
        </w:pBdr>
      </w:pPr>
      <w:r>
        <w:t>Causa raíz del problema</w:t>
      </w:r>
    </w:p>
    <w:p>
      <w:r>
        <w:rPr>
          <w:b/>
        </w:rPr>
        <w:t>Técnica de los 5 porqués</w:t>
      </w:r>
    </w:p>
    <w:p>
      <w:pPr>
        <w:pStyle w:val="ListNumber"/>
      </w:pPr>
      <w:r>
        <w:rPr/>
        <w:t>¿Por qué los clientes esperan horas o días? Porque nadie ve la solicitud a tiempo.</w:t>
      </w:r>
    </w:p>
    <w:p>
      <w:pPr>
        <w:pStyle w:val="ListNumber"/>
      </w:pPr>
      <w:r>
        <w:rPr/>
        <w:t>¿Por qué nadie la ve? Porque llega al celular personal de alguien que está en obra.</w:t>
      </w:r>
    </w:p>
    <w:p>
      <w:pPr>
        <w:pStyle w:val="ListNumber"/>
      </w:pPr>
      <w:r>
        <w:rPr/>
        <w:t>¿Por qué llega ahí? Porque la empresa no tiene un canal ni un registro propios para las solicitudes.</w:t>
      </w:r>
    </w:p>
    <w:p>
      <w:pPr>
        <w:pStyle w:val="ListNumber"/>
      </w:pPr>
      <w:r>
        <w:rPr/>
        <w:t>¿Por qué no los tiene? Porque la gestión comercial se apoya en las personas, no en procesos ni en herramientas de la empresa: lo que cada uno sabe del cliente no queda escrito en ningún lugar común.</w:t>
      </w:r>
    </w:p>
    <w:p>
      <w:pPr>
        <w:pStyle w:val="ListNumber"/>
      </w:pPr>
      <w:r>
        <w:rPr/>
        <w:t>¿Por qué eso afecta también a las cotizaciones y al historial? Porque el mismo conocimiento (precios, rubros, conversaciones) tampoco se conserva, y hay que reconstruirlo cada vez.</w:t>
      </w:r>
    </w:p>
    <w:p>
      <w:r>
        <w:rPr>
          <w:b/>
        </w:rPr>
        <w:t>Causa raíz:</w:t>
      </w:r>
      <w:r>
        <w:rPr/>
        <w:t xml:space="preserve"> el conocimiento comercial es de cada persona y no de la empresa, y no existe un flujo con responsable para cada solicitud. Las alertas resuelven solo el síntoma de la espera. Por eso la solución combina el registro y las alertas (TEAMSLASH) con la bóveda de conocimiento, el asistente y el registro verificable.</w:t>
      </w:r>
    </w:p>
    <w:p>
      <w:r>
        <w:rPr>
          <w:b/>
        </w:rPr>
        <w:t>Diagrama de causa y efecto (resumen por categorías)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1444"/>
        <w:gridCol w:w="8302"/>
      </w:tblGrid>
      <w:tr>
        <w:tc>
          <w:tcPr>
            <w:tcW w:type="dxa" w:w="1444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Categoría</w:t>
            </w:r>
          </w:p>
        </w:tc>
        <w:tc>
          <w:tcPr>
            <w:tcW w:type="dxa" w:w="8302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Causas</w:t>
            </w:r>
          </w:p>
        </w:tc>
      </w:tr>
      <w:tr>
        <w:tc>
          <w:tcPr>
            <w:tcW w:type="dxa" w:w="144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Personas</w:t>
            </w:r>
          </w:p>
        </w:tc>
        <w:tc>
          <w:tcPr>
            <w:tcW w:type="dxa" w:w="830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El mismo personal vende y supervisa obra; revisión intermitente del celular</w:t>
            </w:r>
          </w:p>
        </w:tc>
      </w:tr>
      <w:tr>
        <w:tc>
          <w:tcPr>
            <w:tcW w:type="dxa" w:w="144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Procesos</w:t>
            </w:r>
          </w:p>
        </w:tc>
        <w:tc>
          <w:tcPr>
            <w:tcW w:type="dxa" w:w="8302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 hay asignación, estados ni seguimiento definidos; las cotizaciones no se reutilizan</w:t>
            </w:r>
          </w:p>
        </w:tc>
      </w:tr>
      <w:tr>
        <w:tc>
          <w:tcPr>
            <w:tcW w:type="dxa" w:w="144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Tecnología</w:t>
            </w:r>
          </w:p>
        </w:tc>
        <w:tc>
          <w:tcPr>
            <w:tcW w:type="dxa" w:w="830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 hay un sistema comercial; el WhatsApp personal es el canal principal; el MVP no conserva el conocimiento</w:t>
            </w:r>
          </w:p>
        </w:tc>
      </w:tr>
      <w:tr>
        <w:tc>
          <w:tcPr>
            <w:tcW w:type="dxa" w:w="144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Entorno</w:t>
            </w:r>
          </w:p>
        </w:tc>
        <w:tc>
          <w:tcPr>
            <w:tcW w:type="dxa" w:w="8302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Conectividad limitada en obra; clientes que esperan respuestas inmediatas</w:t>
            </w:r>
          </w:p>
        </w:tc>
      </w:tr>
      <w:tr>
        <w:tc>
          <w:tcPr>
            <w:tcW w:type="dxa" w:w="144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Información</w:t>
            </w:r>
          </w:p>
        </w:tc>
        <w:tc>
          <w:tcPr>
            <w:tcW w:type="dxa" w:w="830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Cotizaciones y datos de clientes dispersos en celulares, chats y cuadernos</w:t>
            </w:r>
          </w:p>
        </w:tc>
      </w:tr>
    </w:tbl>
    <w:p/>
    <w:p>
      <w:pPr>
        <w:pStyle w:val="Heading1"/>
        <w:pBdr>
          <w:bottom w:val="single" w:sz="10" w:space="4" w:color="B87333"/>
        </w:pBdr>
      </w:pPr>
      <w:r>
        <w:t>Datos, evidencias y anexos de respaldo</w:t>
      </w:r>
    </w:p>
    <w:p>
      <w:pPr>
        <w:pStyle w:val="ListBullet"/>
      </w:pPr>
      <w:r>
        <w:rPr/>
        <w:t>Informe Final del proyecto integrador TEAMSLASH (22-jul-2026):</w:t>
      </w:r>
    </w:p>
    <w:p>
      <w:pPr>
        <w:pStyle w:val="ListBullet"/>
        <w:ind w:left="714"/>
      </w:pPr>
      <w:r>
        <w:rPr/>
        <w:t>Tabla 1, censo n = 5, pp. 9–10;</w:t>
      </w:r>
    </w:p>
    <w:p>
      <w:pPr>
        <w:pStyle w:val="ListBullet"/>
        <w:ind w:left="714"/>
      </w:pPr>
      <w:r>
        <w:rPr/>
        <w:t>Tabla 3, resultados del MVP, pp. 23–24.</w:t>
      </w:r>
    </w:p>
    <w:p>
      <w:pPr>
        <w:pStyle w:val="ListBullet"/>
      </w:pPr>
      <w:r>
        <w:rPr/>
        <w:t>Proceso actual (AS-IS) en BPMN, v0.1 (25-oct-2026). Borrador sin validar en campo.</w:t>
      </w:r>
    </w:p>
    <w:p>
      <w:pPr>
        <w:pStyle w:val="ListBullet"/>
      </w:pPr>
      <w:r>
        <w:rPr/>
        <w:t>Capítulo I de la tesis (v0.3, 27-oct-2026): contexto, evidencias y metas M1–M6.</w:t>
      </w:r>
    </w:p>
    <w:p>
      <w:pPr>
        <w:pStyle w:val="ListBullet"/>
      </w:pPr>
      <w:r>
        <w:rPr/>
        <w:t>Inventario de herramientas candidatas, v0.2 (25-oct-2026).</w:t>
      </w:r>
    </w:p>
    <w:p>
      <w:pPr>
        <w:pStyle w:val="ListBullet"/>
      </w:pPr>
      <w:r>
        <w:rPr>
          <w:b/>
        </w:rPr>
        <w:t>Por levantar en Torvesa:</w:t>
      </w:r>
    </w:p>
    <w:p>
      <w:pPr>
        <w:pStyle w:val="ListBullet"/>
        <w:ind w:left="714"/>
      </w:pPr>
      <w:r>
        <w:rPr/>
        <w:t>muestra documental de solicitudes de los últimos 3 meses;</w:t>
      </w:r>
    </w:p>
    <w:p>
      <w:pPr>
        <w:pStyle w:val="ListBullet"/>
        <w:ind w:left="714"/>
      </w:pPr>
      <w:r>
        <w:rPr/>
        <w:t>cronometraje de cotizaciones;</w:t>
      </w:r>
    </w:p>
    <w:p>
      <w:pPr>
        <w:pStyle w:val="ListBullet"/>
        <w:ind w:left="714"/>
      </w:pPr>
      <w:r>
        <w:rPr/>
        <w:t>encuestas I1 e I2;</w:t>
      </w:r>
    </w:p>
    <w:p>
      <w:pPr>
        <w:pStyle w:val="ListBullet"/>
        <w:ind w:left="714"/>
      </w:pPr>
      <w:r>
        <w:rPr/>
        <w:t>entrevistas I3.</w:t>
      </w:r>
    </w:p>
    <w:p>
      <w:r>
        <w:rPr/>
        <w:t>Con estos datos se reemplazan las estimaciones del antecedente (más de 24 horas de respuesta y USD 15.000 por cliente perdido) por mediciones.</w:t>
      </w:r>
    </w:p>
    <w:p>
      <w:pPr>
        <w:pStyle w:val="Heading1"/>
        <w:pBdr>
          <w:bottom w:val="single" w:sz="10" w:space="4" w:color="B87333"/>
        </w:pBdr>
      </w:pPr>
      <w:r>
        <w:t>Referencias</w:t>
      </w:r>
    </w:p>
    <w:p>
      <w:r>
        <w:rPr/>
        <w:t xml:space="preserve">Banco Central del Ecuador. (2026). </w:t>
      </w:r>
      <w:r>
        <w:rPr>
          <w:i/>
        </w:rPr>
        <w:t>Informe de evolución de la economía ecuatoriana en 2025 y perspectivas 2026</w:t>
      </w:r>
      <w:r>
        <w:rPr/>
        <w:t>. https://contenido.bce.fin.ec/documentos/Administracion/EvolEconEcu_2025pers2026.pdf</w:t>
      </w:r>
    </w:p>
    <w:p>
      <w:r>
        <w:rPr/>
        <w:t xml:space="preserve">Manyika, J., Ramaswamy, S., Khanna, S., Sarrazin, H., Pinkus, G., Sethupathy, G., y Yaffe, A. (2015). </w:t>
      </w:r>
      <w:r>
        <w:rPr>
          <w:i/>
        </w:rPr>
        <w:t>Digital America: A tale of the haves and have-mores</w:t>
      </w:r>
      <w:r>
        <w:rPr/>
        <w:t>. McKinsey Global Institute. https://www.mckinsey.com/industries/technology-media-and-telecommunications/our-insights/digital-america-a-tale-of-the-haves-and-have-mores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ato" w:hAnsi="Lato" w:cs="Lato" w:eastAsia="Lato"/>
        <w:color w:val="555E6B"/>
        <w:sz w:val="16"/>
      </w:rPr>
      <w:t xml:space="preserve">Planteamiento del problema  ·  Tesis Torvesa · UPS  ·  pág. </w:t>
    </w:r>
    <w:r>
      <w:rPr>
        <w:color w:val="555E6B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Lato" w:hAnsi="Lato" w:eastAsia="Lato"/>
      <w:color w:val="222A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Poppins" w:hAnsi="Poppins" w:cs="Poppins"/>
      <w:b/>
      <w:bCs/>
      <w:color w:val="0B1F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Poppins" w:hAnsi="Poppins" w:cs="Poppins"/>
      <w:b/>
      <w:bCs/>
      <w:color w:val="B873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Poppins" w:hAnsi="Poppins" w:cs="Poppins"/>
      <w:b/>
      <w:bCs/>
      <w:color w:val="0B1F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ato" w:hAnsi="Lato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ato" w:hAnsi="Lato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