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C40C7E">
      <w:pPr>
        <w:pStyle w:val="2"/>
        <w:spacing w:before="360" w:after="180" w:line="276" w:lineRule="auto"/>
      </w:pPr>
      <w:r>
        <w:rPr>
          <w:b/>
          <w:bCs/>
          <w:color w:val="2E74B5"/>
          <w:sz w:val="32"/>
          <w:szCs w:val="32"/>
        </w:rPr>
        <w:t>Super Elite Bonus（SE 奖金）业务需求</w:t>
      </w:r>
    </w:p>
    <w:p w14:paraId="02847EC9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一、核心基础指标与真实语义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4"/>
        <w:gridCol w:w="6802"/>
      </w:tblGrid>
      <w:tr w14:paraId="3D03083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5A45E69">
            <w:pPr>
              <w:jc w:val="left"/>
            </w:pPr>
            <w:r>
              <w:rPr>
                <w:color w:val="000000"/>
              </w:rPr>
              <w:t>指标字段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A933E7">
            <w:pPr>
              <w:jc w:val="left"/>
            </w:pPr>
            <w:r>
              <w:rPr>
                <w:color w:val="000000"/>
              </w:rPr>
              <w:t>准确业务定义</w:t>
            </w:r>
          </w:p>
        </w:tc>
      </w:tr>
      <w:tr w14:paraId="4A29F3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1F59D7">
            <w:pPr>
              <w:jc w:val="left"/>
            </w:pPr>
            <w:r>
              <w:rPr>
                <w:b/>
                <w:bCs/>
              </w:rPr>
              <w:t>RANK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C1291A">
            <w:pPr>
              <w:jc w:val="left"/>
            </w:pPr>
            <w:r>
              <w:t xml:space="preserve">会员当期最终评定级别编码。必须精确等于 </w:t>
            </w:r>
            <w:r>
              <w:rPr>
                <w:b/>
                <w:bCs/>
              </w:rPr>
              <w:t>30</w:t>
            </w:r>
            <w:r>
              <w:t>（Super Elite）方可</w:t>
            </w:r>
            <w:r>
              <w:rPr>
                <w:b/>
                <w:bCs/>
              </w:rPr>
              <w:t>计入大区分母并生成奖金明细</w:t>
            </w:r>
            <w:r>
              <w:t>。级别与资金池（分子）无关。</w:t>
            </w:r>
          </w:p>
        </w:tc>
      </w:tr>
      <w:tr w14:paraId="77AEF0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8303B9">
            <w:pPr>
              <w:jc w:val="left"/>
            </w:pPr>
            <w:r>
              <w:rPr>
                <w:b/>
                <w:bCs/>
              </w:rPr>
              <w:t>COUNTRY_ID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C30BEB0">
            <w:pPr>
              <w:jc w:val="left"/>
            </w:pPr>
            <w:r>
              <w:t>会员 / 订单的</w:t>
            </w:r>
            <w:r>
              <w:rPr>
                <w:b/>
                <w:bCs/>
              </w:rPr>
              <w:t>原生国家代码</w:t>
            </w:r>
          </w:p>
        </w:tc>
      </w:tr>
      <w:tr w14:paraId="123ECB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5876B7">
            <w:pPr>
              <w:jc w:val="left"/>
            </w:pPr>
            <w:r>
              <w:rPr>
                <w:b/>
                <w:bCs/>
              </w:rPr>
              <w:t>BONUS_COUNTRY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DEE5EA">
            <w:pPr>
              <w:jc w:val="left"/>
            </w:pPr>
            <w:r>
              <w:rPr>
                <w:b/>
                <w:bCs/>
              </w:rPr>
              <w:t>奖金大区标识</w:t>
            </w:r>
            <w:r>
              <w:t>。</w:t>
            </w:r>
          </w:p>
        </w:tc>
      </w:tr>
      <w:tr w14:paraId="1DB23A2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F622C8">
            <w:pPr>
              <w:jc w:val="left"/>
            </w:pPr>
            <w:r>
              <w:rPr>
                <w:b/>
                <w:bCs/>
              </w:rPr>
              <w:t>PV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82E2690">
            <w:pPr>
              <w:jc w:val="left"/>
            </w:pPr>
            <w:r>
              <w:t>订单产生的真实业绩数值。</w:t>
            </w:r>
          </w:p>
        </w:tc>
      </w:tr>
      <w:tr w14:paraId="02A84CE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360A9C4">
            <w:pPr>
              <w:jc w:val="left"/>
            </w:pPr>
            <w:r>
              <w:rPr>
                <w:b/>
                <w:bCs/>
              </w:rPr>
              <w:t>IS_ACTIVE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45EEA1">
            <w:pPr>
              <w:jc w:val="left"/>
            </w:pPr>
            <w:r>
              <w:t>会员当期活跃状态标记（1=活跃，0=不活跃），仅作结果快照打标留存。</w:t>
            </w:r>
            <w:r>
              <w:rPr>
                <w:b/>
                <w:bCs/>
              </w:rPr>
              <w:t>活跃表中查无此人按 0（不活跃）落标。</w:t>
            </w:r>
          </w:p>
        </w:tc>
      </w:tr>
      <w:tr w14:paraId="20C2214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B5E4FE">
            <w:pPr>
              <w:jc w:val="left"/>
            </w:pPr>
            <w:r>
              <w:rPr>
                <w:b/>
                <w:bCs/>
              </w:rPr>
              <w:t>superEliteRate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9E68C15">
            <w:pPr>
              <w:jc w:val="left"/>
            </w:pPr>
            <w:r>
              <w:t>SE 奖金全局拨出比例。</w:t>
            </w:r>
          </w:p>
        </w:tc>
      </w:tr>
    </w:tbl>
    <w:p w14:paraId="2A740AA0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二、奖金计算公式与拨比规则</w:t>
      </w:r>
    </w:p>
    <w:p w14:paraId="2AE153A1">
      <w:pPr>
        <w:spacing w:before="120" w:after="120" w:line="360" w:lineRule="auto"/>
      </w:pPr>
      <w:r>
        <w:rPr>
          <w:b/>
          <w:bCs/>
        </w:rPr>
        <w:t>1. 资格准入</w:t>
      </w:r>
      <w:r>
        <w:t xml:space="preserve">：会员当期级别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rank == 30</w:t>
      </w:r>
      <w:r>
        <w:t>。</w:t>
      </w:r>
    </w:p>
    <w:p w14:paraId="5E2A83D0">
      <w:pPr>
        <w:spacing w:before="120" w:after="120" w:line="360" w:lineRule="auto"/>
      </w:pPr>
      <w:r>
        <w:rPr>
          <w:b/>
          <w:bCs/>
        </w:rPr>
        <w:t>2. 基数汇总逻辑</w:t>
      </w:r>
      <w:r>
        <w:t>（SE 奖金是"大区按人头均分"性质的奖金）：</w:t>
      </w:r>
    </w:p>
    <w:p w14:paraId="1B2C737E">
      <w:pPr>
        <w:pStyle w:val="14"/>
        <w:numPr>
          <w:ilvl w:val="0"/>
          <w:numId w:val="1"/>
        </w:numPr>
        <w:spacing w:before="60" w:after="60" w:line="360" w:lineRule="auto"/>
        <w:ind w:left="360" w:hanging="259"/>
      </w:pPr>
      <w:r>
        <w:rPr>
          <w:b/>
          <w:bCs/>
        </w:rPr>
        <w:t>大区总资金池（分子）</w:t>
      </w:r>
      <w:r>
        <w:t>：当期该 BONUS_COUNTRY 大区内</w:t>
      </w:r>
      <w:r>
        <w:rPr>
          <w:b/>
          <w:bCs/>
        </w:rPr>
        <w:t>全部成员国（含主国）产生的订单 PV 总和。与下单者的级别、是否 SE、是否活跃</w:t>
      </w:r>
      <w:r>
        <w:t>均无关。</w:t>
      </w:r>
    </w:p>
    <w:p w14:paraId="42247E55">
      <w:pPr>
        <w:pStyle w:val="14"/>
        <w:numPr>
          <w:ilvl w:val="0"/>
          <w:numId w:val="1"/>
        </w:numPr>
        <w:spacing w:before="60" w:after="60" w:line="360" w:lineRule="auto"/>
        <w:ind w:left="360" w:hanging="259"/>
      </w:pPr>
      <w:r>
        <w:rPr>
          <w:b/>
          <w:bCs/>
        </w:rPr>
        <w:t>大区总人数（分母）</w:t>
      </w:r>
      <w:r>
        <w:t xml:space="preserve">：当期该大区内所有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rank == 30</w:t>
      </w:r>
      <w:r>
        <w:t xml:space="preserve"> 的超级精英会员总数，</w:t>
      </w:r>
      <w:r>
        <w:rPr>
          <w:b/>
          <w:bCs/>
        </w:rPr>
        <w:t>含不活跃会员</w:t>
      </w:r>
      <w:r>
        <w:t>。</w:t>
      </w:r>
    </w:p>
    <w:p w14:paraId="39D930DF">
      <w:pPr>
        <w:spacing w:before="120" w:after="120" w:line="360" w:lineRule="auto"/>
      </w:pPr>
      <w:r>
        <w:rPr>
          <w:b/>
          <w:bCs/>
        </w:rPr>
        <w:t>3. 结算拦截说明</w:t>
      </w:r>
      <w:r>
        <w:t>：遵循"</w:t>
      </w:r>
      <w:r>
        <w:rPr>
          <w:b/>
          <w:bCs/>
        </w:rPr>
        <w:t>算发解耦，允许稀释</w:t>
      </w:r>
      <w:r>
        <w:t>"原则。算奖引擎不执行活跃度拦截：不活跃 SE（IS_ACTIVE=0）照常计入分母参与平分（产生奖金稀释效应），并如实生成含分红金额及 IS_ACTIVE=0 标签的</w:t>
      </w:r>
      <w:r>
        <w:rPr>
          <w:b/>
          <w:bCs/>
        </w:rPr>
        <w:t>待落库快照明细</w:t>
      </w:r>
      <w:r>
        <w:t>（写库由调度层执行）。真实的"不活跃不发"由下游发放侧（钱包/财务体系）按快照标签执行拦截。不活跃会员对应的份额</w:t>
      </w:r>
      <w:r>
        <w:rPr>
          <w:b/>
          <w:bCs/>
        </w:rPr>
        <w:t>不会</w:t>
      </w:r>
      <w:r>
        <w:t>重新分配给活跃 SE；其沉淀、回收或转入其他科目由发放/财务侧定夺。</w:t>
      </w:r>
    </w:p>
    <w:p w14:paraId="4C9DB904">
      <w:pPr>
        <w:spacing w:before="120" w:after="120" w:line="360" w:lineRule="auto"/>
      </w:pPr>
      <w:r>
        <w:rPr>
          <w:b/>
          <w:bCs/>
        </w:rPr>
        <w:t>4. 计算公式</w:t>
      </w:r>
      <w:r>
        <w:t>：</w:t>
      </w:r>
    </w:p>
    <w:p w14:paraId="64814744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大区总业绩基数  VV_TOTAL_PV = Σ(当前 BONUS_COUNTRY 大区内所有成员国的订单 PV)</w:t>
      </w:r>
    </w:p>
    <w:p w14:paraId="69E7C7C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大区总人数基数  VV_COUNT    = Count(当前大区内 rank == 30 的人数)</w:t>
      </w:r>
    </w:p>
    <w:p w14:paraId="2FAC433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单人奖金        BONUS_SE    = TRUNCATE((VV_TOTAL_PV × superEliteRate) ÷ VV_COUNT, 2)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C297D63"/>
    <w:rsid w:val="2A587D21"/>
    <w:rsid w:val="7C201B9C"/>
    <w:rsid w:val="7C8224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180" w:line="360" w:lineRule="auto"/>
    </w:pPr>
    <w:rPr>
      <w:rFonts w:ascii="微软雅黑" w:hAnsi="微软雅黑" w:eastAsia="微软雅黑" w:cs="微软雅黑"/>
      <w:b/>
      <w:bCs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before="288" w:after="180" w:line="360" w:lineRule="auto"/>
    </w:pPr>
    <w:rPr>
      <w:rFonts w:ascii="微软雅黑" w:hAnsi="微软雅黑" w:eastAsia="微软雅黑" w:cs="微软雅黑"/>
      <w:b/>
      <w:bCs/>
      <w:color w:val="2E74B5"/>
      <w:sz w:val="28"/>
      <w:szCs w:val="28"/>
    </w:rPr>
  </w:style>
  <w:style w:type="paragraph" w:styleId="4">
    <w:name w:val="heading 3"/>
    <w:next w:val="1"/>
    <w:qFormat/>
    <w:uiPriority w:val="0"/>
    <w:pPr>
      <w:spacing w:before="252" w:after="144" w:line="360" w:lineRule="auto"/>
    </w:pPr>
    <w:rPr>
      <w:rFonts w:ascii="微软雅黑" w:hAnsi="微软雅黑" w:eastAsia="微软雅黑" w:cs="微软雅黑"/>
      <w:b/>
      <w:bCs/>
      <w:color w:val="2E74B5"/>
      <w:sz w:val="26"/>
      <w:szCs w:val="26"/>
    </w:rPr>
  </w:style>
  <w:style w:type="paragraph" w:styleId="5">
    <w:name w:val="heading 4"/>
    <w:next w:val="1"/>
    <w:qFormat/>
    <w:uiPriority w:val="0"/>
    <w:pPr>
      <w:spacing w:before="215" w:after="126" w:line="360" w:lineRule="auto"/>
    </w:pPr>
    <w:rPr>
      <w:rFonts w:ascii="微软雅黑" w:hAnsi="微软雅黑" w:eastAsia="微软雅黑" w:cs="微软雅黑"/>
      <w:b/>
      <w:b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before="180" w:after="107" w:line="360" w:lineRule="auto"/>
    </w:pPr>
    <w:rPr>
      <w:rFonts w:ascii="微软雅黑" w:hAnsi="微软雅黑" w:eastAsia="微软雅黑" w:cs="微软雅黑"/>
      <w:b/>
      <w:bCs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before="180" w:after="107" w:line="360" w:lineRule="auto"/>
    </w:pPr>
    <w:rPr>
      <w:rFonts w:ascii="微软雅黑" w:hAnsi="微软雅黑" w:eastAsia="微软雅黑" w:cs="微软雅黑"/>
      <w:b/>
      <w:bCs/>
      <w:color w:val="2E74B5"/>
      <w:sz w:val="20"/>
      <w:szCs w:val="20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before="120"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Title"/>
    <w:qFormat/>
    <w:uiPriority w:val="0"/>
    <w:pPr>
      <w:spacing w:before="120" w:after="120" w:line="360" w:lineRule="auto"/>
    </w:pPr>
    <w:rPr>
      <w:rFonts w:ascii="微软雅黑" w:hAnsi="微软雅黑" w:eastAsia="微软雅黑" w:cs="微软雅黑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pPr>
      <w:spacing w:before="120" w:after="120" w:line="360" w:lineRule="auto"/>
    </w:pPr>
    <w:rPr>
      <w:rFonts w:ascii="微软雅黑" w:hAnsi="微软雅黑" w:eastAsia="微软雅黑" w:cs="微软雅黑"/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2540</Words>
  <Characters>3451</Characters>
  <TotalTime>1830</TotalTime>
  <ScaleCrop>false</ScaleCrop>
  <LinksUpToDate>false</LinksUpToDate>
  <CharactersWithSpaces>3719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2026-06-12T22:24:00Z</dcterms:created>
  <dc:creator>Un-named</dc:creator>
  <cp:lastModifiedBy>杜培</cp:lastModifiedBy>
  <dcterms:modified xsi:type="dcterms:W3CDTF">2026-06-14T04:57:49Z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eyJoZGlkIjoiMGUxOWEyZGUxODRmNTk0NjZmYTg3ZTczMjNmYTExNGEiLCJ1c2VySWQiOiI1MTIzOTYxOTgifQ==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D793B15414E14631A13A4A8DE2CD7F51_13</vt:lpwstr>
  </property>
</Properties>
</file>