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32"/>
        </w:rPr>
        <w:t>上播前·选品体检 · 一页式使用说明</w:t>
      </w:r>
    </w:p>
    <w:p>
      <w:pPr>
        <w:spacing w:after="40"/>
        <w:jc w:val="center"/>
      </w:pPr>
      <w:r>
        <w:rPr>
          <w:rFonts w:ascii="宋体" w:hAnsi="宋体" w:eastAsia="宋体"/>
          <w:b/>
          <w:sz w:val="21"/>
        </w:rPr>
        <w:t>一句话</w:t>
      </w:r>
      <w:r>
        <w:rPr>
          <w:rFonts w:ascii="宋体" w:hAnsi="宋体" w:eastAsia="宋体"/>
          <w:b w:val="0"/>
          <w:sz w:val="21"/>
        </w:rPr>
        <w:t>：上播前 3 分钟，查清这个品能不能播、缺什么、怎么改。</w:t>
      </w:r>
    </w:p>
    <w:p>
      <w:pPr>
        <w:spacing w:before="120" w:after="40"/>
      </w:pPr>
      <w:r>
        <w:rPr>
          <w:rFonts w:ascii="黑体" w:hAnsi="黑体" w:eastAsia="黑体"/>
          <w:b/>
          <w:sz w:val="23"/>
        </w:rPr>
        <w:t>一、打开方式</w:t>
      </w:r>
    </w:p>
    <w:p>
      <w:pPr>
        <w:spacing w:after="20"/>
        <w:ind w:left="0"/>
      </w:pPr>
      <w:r>
        <w:rPr>
          <w:rFonts w:ascii="宋体" w:hAnsi="宋体" w:eastAsia="宋体"/>
          <w:b w:val="0"/>
          <w:sz w:val="21"/>
        </w:rPr>
        <w:t xml:space="preserve">双击 </w:t>
      </w:r>
      <w:r>
        <w:rPr>
          <w:rFonts w:ascii="等线" w:hAnsi="等线" w:eastAsia="等线"/>
          <w:b w:val="0"/>
          <w:sz w:val="20"/>
        </w:rPr>
        <w:t>index.html</w:t>
      </w:r>
      <w:r>
        <w:rPr>
          <w:rFonts w:ascii="宋体" w:hAnsi="宋体" w:eastAsia="宋体"/>
          <w:b w:val="0"/>
          <w:sz w:val="21"/>
        </w:rPr>
        <w:t xml:space="preserve"> 即可，</w:t>
      </w:r>
      <w:r>
        <w:rPr>
          <w:rFonts w:ascii="宋体" w:hAnsi="宋体" w:eastAsia="宋体"/>
          <w:b/>
          <w:sz w:val="21"/>
        </w:rPr>
        <w:t>无需安装、无需联网</w:t>
      </w:r>
      <w:r>
        <w:rPr>
          <w:rFonts w:ascii="宋体" w:hAnsi="宋体" w:eastAsia="宋体"/>
          <w:b w:val="0"/>
          <w:sz w:val="21"/>
        </w:rPr>
        <w:t>（建议 Chrome / Edge）。资料只保存在本机浏览器，不上传云端。</w:t>
      </w:r>
    </w:p>
    <w:p>
      <w:pPr>
        <w:spacing w:before="120" w:after="40"/>
      </w:pPr>
      <w:r>
        <w:rPr>
          <w:rFonts w:ascii="黑体" w:hAnsi="黑体" w:eastAsia="黑体"/>
          <w:b/>
          <w:sz w:val="23"/>
        </w:rPr>
        <w:t>二、六步操作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步骤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你要做什么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你会看到什么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1 分流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选产品类型、销售主体、带货平台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本次适用的规则线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2 录入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填产品信息、资质、直播文案；可上传包装图自动识别，没配密钥就直接手填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表单自动存草稿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3 核验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点「证据核验」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通过 / 需修正 / 人工核对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4 判定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点「规则判定」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红黄绿灰 + 命中规则 + 待补充清单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5 审核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逐条裁决，选审核结论，填审核人、日期，点「签字生效」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已签字生效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6 导出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点「导出档案（第 6 步）」；黄态可先点「生成整改单」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可打印 / 另存 PDF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rFonts w:ascii="黑体" w:hAnsi="黑体" w:eastAsia="黑体"/>
          <w:b/>
          <w:sz w:val="23"/>
        </w:rPr>
        <w:t>三、四种结果怎么处置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结果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含义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你该做什么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红·禁播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存在硬性违法/违规事实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不能播，按明细处理（不提供整改单）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黄·整改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整改后可播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点「生成整改单」，7 日内改完再来体检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绿·可播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资质齐全有效、宣称合规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出档案，可安排上播</w:t>
            </w:r>
          </w:p>
        </w:tc>
      </w:tr>
      <w:tr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灰·信息不足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资料不全，</w:t>
            </w:r>
            <w:r>
              <w:rPr>
                <w:rFonts w:ascii="宋体" w:hAnsi="宋体" w:eastAsia="宋体"/>
                <w:b/>
                <w:sz w:val="19"/>
              </w:rPr>
              <w:t>不判违规</w:t>
            </w:r>
          </w:p>
        </w:tc>
        <w:tc>
          <w:tcPr>
            <w:tcW w:type="dxa" w:w="3400"/>
          </w:tcPr>
          <w:p>
            <w:pPr>
              <w:spacing w:line="240" w:lineRule="auto" w:before="20" w:after="20"/>
            </w:pPr>
            <w:r>
              <w:rPr>
                <w:rFonts w:ascii="宋体" w:hAnsi="宋体" w:eastAsia="宋体"/>
                <w:b w:val="0"/>
                <w:sz w:val="19"/>
              </w:rPr>
              <w:t>按清单补材料，补完重新判定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rFonts w:ascii="黑体" w:hAnsi="黑体" w:eastAsia="黑体"/>
          <w:b/>
          <w:sz w:val="23"/>
        </w:rPr>
        <w:t>四、三条硬提醒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>1. SC 号、统一社会信用代码、报告编号请照证件原样填写；工具只做结构校验，</w:t>
      </w:r>
      <w:r>
        <w:rPr>
          <w:rFonts w:ascii="宋体" w:hAnsi="宋体" w:eastAsia="宋体"/>
          <w:b/>
          <w:sz w:val="21"/>
        </w:rPr>
        <w:t>不联网验真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>2. 判定只是提示，</w:t>
      </w:r>
      <w:r>
        <w:rPr>
          <w:rFonts w:ascii="宋体" w:hAnsi="宋体" w:eastAsia="宋体"/>
          <w:b/>
          <w:sz w:val="21"/>
        </w:rPr>
        <w:t>必须人工逐条裁决并签字</w:t>
      </w:r>
      <w:r>
        <w:rPr>
          <w:rFonts w:ascii="宋体" w:hAnsi="宋体" w:eastAsia="宋体"/>
          <w:b w:val="0"/>
          <w:sz w:val="21"/>
        </w:rPr>
        <w:t>才生效，签字后才写入档案。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>3. 档案含企业信息时，打印前勾选「脱敏显示」。</w:t>
      </w:r>
    </w:p>
    <w:p>
      <w:pPr>
        <w:spacing w:before="120" w:after="40"/>
      </w:pPr>
      <w:r>
        <w:rPr>
          <w:rFonts w:ascii="黑体" w:hAnsi="黑体" w:eastAsia="黑体"/>
          <w:b/>
          <w:sz w:val="23"/>
        </w:rPr>
        <w:t>五、常见问题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点了没反应？</w:t>
      </w:r>
      <w:r>
        <w:rPr>
          <w:rFonts w:ascii="宋体" w:hAnsi="宋体" w:eastAsia="宋体"/>
          <w:b w:val="0"/>
          <w:sz w:val="21"/>
        </w:rPr>
        <w:t xml:space="preserve"> 确认分流三项都已选好，再点「进入资料录入」。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想存 PDF？</w:t>
      </w:r>
      <w:r>
        <w:rPr>
          <w:rFonts w:ascii="宋体" w:hAnsi="宋体" w:eastAsia="宋体"/>
          <w:b w:val="0"/>
          <w:sz w:val="21"/>
        </w:rPr>
        <w:t xml:space="preserve"> 档案页点「打印 / 导出 PDF」，目标打印机选「另存为 PDF」。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换电脑数据没了？</w:t>
      </w:r>
      <w:r>
        <w:rPr>
          <w:rFonts w:ascii="宋体" w:hAnsi="宋体" w:eastAsia="宋体"/>
          <w:b w:val="0"/>
          <w:sz w:val="21"/>
        </w:rPr>
        <w:t xml:space="preserve"> 档案存在本机浏览器，换设备不互通，请先导出保存。</w:t>
      </w:r>
    </w:p>
    <w:p>
      <w:pPr>
        <w:spacing w:after="20"/>
        <w:ind w:left="28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想先看效果？</w:t>
      </w:r>
      <w:r>
        <w:rPr>
          <w:rFonts w:ascii="宋体" w:hAnsi="宋体" w:eastAsia="宋体"/>
          <w:b w:val="0"/>
          <w:sz w:val="21"/>
        </w:rPr>
        <w:t xml:space="preserve"> 点顶部「演示模式」，一键载入示例数据跑完整流程。</w:t>
      </w:r>
    </w:p>
    <w:p>
      <w:pPr>
        <w:spacing w:after="20"/>
        <w:ind w:left="0"/>
      </w:pPr>
      <w:r>
        <w:rPr>
          <w:rFonts w:ascii="宋体" w:hAnsi="宋体" w:eastAsia="宋体"/>
          <w:b/>
          <w:sz w:val="21"/>
        </w:rPr>
        <w:t>使用边界</w:t>
      </w:r>
      <w:r>
        <w:rPr>
          <w:rFonts w:ascii="宋体" w:hAnsi="宋体" w:eastAsia="宋体"/>
          <w:b w:val="0"/>
          <w:sz w:val="21"/>
        </w:rPr>
        <w:t>：本工具仅供内部决策参考，不构成法律意见；法规依据来自人工编审的规则库，条款号未核对项标【待核对】。</w:t>
      </w:r>
    </w:p>
    <w:sectPr w:rsidR="00FC693F" w:rsidRPr="0006063C" w:rsidSect="00034616">
      <w:pgSz w:w="12240" w:h="15840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20"/>
      <w:ind w:firstLine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