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6EB77">
      <w:pPr>
        <w:spacing w:after="80"/>
        <w:ind w:firstLine="0"/>
        <w:jc w:val="center"/>
      </w:pPr>
      <w:r>
        <w:rPr>
          <w:rFonts w:ascii="黑体" w:hAnsi="黑体" w:eastAsia="黑体"/>
          <w:b/>
          <w:sz w:val="34"/>
        </w:rPr>
        <w:t>上播前·选品体检 —— 两页简要说明</w:t>
      </w:r>
    </w:p>
    <w:p w14:paraId="5D82EA44">
      <w:pPr>
        <w:spacing w:after="80"/>
        <w:ind w:firstLine="0"/>
        <w:jc w:val="both"/>
      </w:pPr>
      <w:r>
        <w:rPr>
          <w:rFonts w:ascii="宋体" w:hAnsi="宋体" w:eastAsia="宋体"/>
          <w:b/>
          <w:sz w:val="24"/>
        </w:rPr>
        <w:t>一句话</w:t>
      </w:r>
      <w:r>
        <w:rPr>
          <w:rFonts w:ascii="宋体" w:hAnsi="宋体" w:eastAsia="宋体"/>
          <w:b w:val="0"/>
          <w:sz w:val="24"/>
        </w:rPr>
        <w:t>：让助农直播的选品员在上播前 3 分钟，查清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这个品能不能播、缺什么、怎么改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。</w:t>
      </w:r>
    </w:p>
    <w:p w14:paraId="01B0A13C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一、真实问题</w:t>
      </w:r>
    </w:p>
    <w:p w14:paraId="652421A4">
      <w:pPr>
        <w:spacing w:after="20"/>
        <w:jc w:val="both"/>
      </w:pPr>
      <w:r>
        <w:rPr>
          <w:rFonts w:ascii="宋体" w:hAnsi="宋体" w:eastAsia="宋体"/>
          <w:b w:val="0"/>
          <w:sz w:val="24"/>
        </w:rPr>
        <w:t>助农直播基地的选品场景有三个特点：</w:t>
      </w:r>
      <w:r>
        <w:rPr>
          <w:rFonts w:ascii="宋体" w:hAnsi="宋体" w:eastAsia="宋体"/>
          <w:b/>
          <w:sz w:val="24"/>
        </w:rPr>
        <w:t>品类杂</w:t>
      </w:r>
      <w:r>
        <w:rPr>
          <w:rFonts w:ascii="宋体" w:hAnsi="宋体" w:eastAsia="宋体"/>
          <w:b w:val="0"/>
          <w:sz w:val="24"/>
        </w:rPr>
        <w:t>（初级农产品、预包装食品、保健食品、地理标志产品，规则完全不同）、</w:t>
      </w:r>
      <w:r>
        <w:rPr>
          <w:rFonts w:ascii="宋体" w:hAnsi="宋体" w:eastAsia="宋体"/>
          <w:b/>
          <w:sz w:val="24"/>
        </w:rPr>
        <w:t>底子薄</w:t>
      </w:r>
      <w:r>
        <w:rPr>
          <w:rFonts w:ascii="宋体" w:hAnsi="宋体" w:eastAsia="宋体"/>
          <w:b w:val="0"/>
          <w:sz w:val="24"/>
        </w:rPr>
        <w:t>（选品员多无法律背景，靠"听说过"判断）、</w:t>
      </w:r>
      <w:r>
        <w:rPr>
          <w:rFonts w:ascii="宋体" w:hAnsi="宋体" w:eastAsia="宋体"/>
          <w:b/>
          <w:sz w:val="24"/>
        </w:rPr>
        <w:t>证据散</w:t>
      </w:r>
      <w:r>
        <w:rPr>
          <w:rFonts w:ascii="宋体" w:hAnsi="宋体" w:eastAsia="宋体"/>
          <w:b w:val="0"/>
          <w:sz w:val="24"/>
        </w:rPr>
        <w:t>（证照、检测报告、标签信息分散在供应商手里，出事才回头找）。</w:t>
      </w:r>
    </w:p>
    <w:p w14:paraId="75FD87C5">
      <w:pPr>
        <w:spacing w:after="20"/>
        <w:jc w:val="both"/>
      </w:pPr>
      <w:r>
        <w:rPr>
          <w:rFonts w:ascii="宋体" w:hAnsi="宋体" w:eastAsia="宋体"/>
          <w:b w:val="0"/>
          <w:sz w:val="24"/>
        </w:rPr>
        <w:t>结果是两类损失同时存在：</w:t>
      </w:r>
      <w:r>
        <w:rPr>
          <w:rFonts w:ascii="宋体" w:hAnsi="宋体" w:eastAsia="宋体"/>
          <w:b/>
          <w:sz w:val="24"/>
        </w:rPr>
        <w:t>该拦的没拦住</w:t>
      </w:r>
      <w:r>
        <w:rPr>
          <w:rFonts w:ascii="宋体" w:hAnsi="宋体" w:eastAsia="宋体"/>
          <w:b w:val="0"/>
          <w:sz w:val="24"/>
        </w:rPr>
        <w:t>（下播、处罚、退货），</w:t>
      </w:r>
      <w:r>
        <w:rPr>
          <w:rFonts w:ascii="宋体" w:hAnsi="宋体" w:eastAsia="宋体"/>
          <w:b/>
          <w:sz w:val="24"/>
        </w:rPr>
        <w:t>不该拦的被拦死</w:t>
      </w:r>
      <w:r>
        <w:rPr>
          <w:rFonts w:ascii="宋体" w:hAnsi="宋体" w:eastAsia="宋体"/>
          <w:b w:val="0"/>
          <w:sz w:val="24"/>
        </w:rPr>
        <w:t>（带泥的萝卜被要求 SC 证）。</w:t>
      </w:r>
    </w:p>
    <w:p w14:paraId="44BCD85B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二、我们的做法</w:t>
      </w:r>
    </w:p>
    <w:p w14:paraId="0ACD41D9">
      <w:pPr>
        <w:spacing w:after="20"/>
      </w:pPr>
      <w:r>
        <w:rPr>
          <w:rFonts w:ascii="宋体" w:hAnsi="宋体" w:eastAsia="宋体"/>
          <w:b w:val="0"/>
          <w:sz w:val="24"/>
        </w:rPr>
        <w:t>把合规判断拆成一条可复跑的六步流水线：</w:t>
      </w:r>
      <w:r>
        <w:rPr>
          <w:rFonts w:ascii="宋体" w:hAnsi="宋体" w:eastAsia="宋体"/>
          <w:b/>
          <w:sz w:val="24"/>
        </w:rPr>
        <w:t>分流 → 资料录入 → 证据核验 → 规则判定 → 人工审核 → 档案/整改单</w:t>
      </w:r>
      <w:r>
        <w:rPr>
          <w:rFonts w:ascii="宋体" w:hAnsi="宋体" w:eastAsia="宋体"/>
          <w:b w:val="0"/>
          <w:sz w:val="24"/>
        </w:rPr>
        <w:t>。</w:t>
      </w:r>
    </w:p>
    <w:p w14:paraId="3DA86308">
      <w:pPr>
        <w:spacing w:after="20"/>
      </w:pPr>
      <w:r>
        <w:rPr>
          <w:rFonts w:ascii="宋体" w:hAnsi="宋体" w:eastAsia="宋体"/>
          <w:b w:val="0"/>
          <w:sz w:val="24"/>
        </w:rPr>
        <w:t>判定输出四种状态：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82A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7EC1965C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w="3249" w:type="dxa"/>
          </w:tcPr>
          <w:p w14:paraId="29E0A605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含义</w:t>
            </w:r>
          </w:p>
        </w:tc>
        <w:tc>
          <w:tcPr>
            <w:tcW w:w="3249" w:type="dxa"/>
          </w:tcPr>
          <w:p w14:paraId="5F533F9A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处置</w:t>
            </w:r>
          </w:p>
        </w:tc>
      </w:tr>
      <w:tr w14:paraId="251F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78D6D201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红·禁播</w:t>
            </w:r>
          </w:p>
        </w:tc>
        <w:tc>
          <w:tcPr>
            <w:tcW w:w="3249" w:type="dxa"/>
          </w:tcPr>
          <w:p w14:paraId="5E24886A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存在硬性违法/违规事实</w:t>
            </w:r>
          </w:p>
        </w:tc>
        <w:tc>
          <w:tcPr>
            <w:tcW w:w="3249" w:type="dxa"/>
          </w:tcPr>
          <w:p w14:paraId="3F16017A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禁播，不出整改单</w:t>
            </w:r>
          </w:p>
        </w:tc>
      </w:tr>
      <w:tr w14:paraId="74DD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64DFCAFA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黄·整改</w:t>
            </w:r>
          </w:p>
        </w:tc>
        <w:tc>
          <w:tcPr>
            <w:tcW w:w="3249" w:type="dxa"/>
          </w:tcPr>
          <w:p w14:paraId="17DF66A8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整改后可播</w:t>
            </w:r>
          </w:p>
        </w:tc>
        <w:tc>
          <w:tcPr>
            <w:tcW w:w="3249" w:type="dxa"/>
          </w:tcPr>
          <w:p w14:paraId="4C3FFBF8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出整改单，7 日内改完复检</w:t>
            </w:r>
          </w:p>
        </w:tc>
      </w:tr>
      <w:tr w14:paraId="2878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659DECD6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绿·可播</w:t>
            </w:r>
          </w:p>
        </w:tc>
        <w:tc>
          <w:tcPr>
            <w:tcW w:w="3249" w:type="dxa"/>
          </w:tcPr>
          <w:p w14:paraId="40D30702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资质齐全有效、宣称合规</w:t>
            </w:r>
          </w:p>
        </w:tc>
        <w:tc>
          <w:tcPr>
            <w:tcW w:w="3249" w:type="dxa"/>
          </w:tcPr>
          <w:p w14:paraId="1D254D4E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出档案，可上播</w:t>
            </w:r>
          </w:p>
        </w:tc>
      </w:tr>
      <w:tr w14:paraId="2383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4A343A4F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灰·信息不足</w:t>
            </w:r>
          </w:p>
        </w:tc>
        <w:tc>
          <w:tcPr>
            <w:tcW w:w="3249" w:type="dxa"/>
          </w:tcPr>
          <w:p w14:paraId="264F1563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资料不全，</w:t>
            </w:r>
            <w:r>
              <w:rPr>
                <w:rFonts w:ascii="宋体" w:hAnsi="宋体" w:eastAsia="宋体"/>
                <w:b/>
                <w:sz w:val="21"/>
              </w:rPr>
              <w:t>不判违规</w:t>
            </w:r>
          </w:p>
        </w:tc>
        <w:tc>
          <w:tcPr>
            <w:tcW w:w="3249" w:type="dxa"/>
          </w:tcPr>
          <w:p w14:paraId="04E35A27">
            <w:pPr>
              <w:spacing w:before="20" w:after="2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给"缺什么"清单</w:t>
            </w:r>
          </w:p>
        </w:tc>
      </w:tr>
    </w:tbl>
    <w:p w14:paraId="690BD73B">
      <w:pPr>
        <w:spacing w:after="0"/>
      </w:pPr>
    </w:p>
    <w:p w14:paraId="1BDAAB97">
      <w:pPr>
        <w:spacing w:after="20"/>
      </w:pPr>
      <w:r>
        <w:rPr>
          <w:rFonts w:ascii="宋体" w:hAnsi="宋体" w:eastAsia="宋体"/>
          <w:b w:val="0"/>
          <w:sz w:val="24"/>
        </w:rPr>
        <w:t>核心设计：</w:t>
      </w:r>
      <w:r>
        <w:rPr>
          <w:rFonts w:ascii="宋体" w:hAnsi="宋体" w:eastAsia="宋体"/>
          <w:b/>
          <w:sz w:val="24"/>
        </w:rPr>
        <w:t>灰态专治误杀</w:t>
      </w:r>
      <w:r>
        <w:rPr>
          <w:rFonts w:ascii="宋体" w:hAnsi="宋体" w:eastAsia="宋体"/>
          <w:b w:val="0"/>
          <w:sz w:val="24"/>
        </w:rPr>
        <w:t>——资料不齐不判违规，只告诉你要补什么。</w:t>
      </w:r>
    </w:p>
    <w:p w14:paraId="254E3E7F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三、凭什么不一样</w:t>
      </w:r>
    </w:p>
    <w:p w14:paraId="23C350B7">
      <w:pPr>
        <w:spacing w:after="20"/>
      </w:pPr>
      <w:r>
        <w:rPr>
          <w:rFonts w:ascii="宋体" w:hAnsi="宋体" w:eastAsia="宋体"/>
          <w:b w:val="0"/>
          <w:sz w:val="24"/>
        </w:rPr>
        <w:t>市面上的工具大多停在"违禁词检测"。我们把差异放在三处：</w:t>
      </w:r>
    </w:p>
    <w:p w14:paraId="1CCFEA51">
      <w:pPr>
        <w:spacing w:after="20"/>
        <w:ind w:left="400" w:firstLine="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先分流，再判定</w:t>
      </w:r>
      <w:r>
        <w:rPr>
          <w:rFonts w:ascii="宋体" w:hAnsi="宋体" w:eastAsia="宋体"/>
          <w:b w:val="0"/>
          <w:sz w:val="24"/>
        </w:rPr>
        <w:t>：产品类型前置判断，避免跨类型误判（例如把初级农产品当预包装要求 SC）。</w:t>
      </w:r>
    </w:p>
    <w:p w14:paraId="2199479D">
      <w:pPr>
        <w:spacing w:after="20"/>
        <w:ind w:left="400" w:firstLine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机器查、人签字</w:t>
      </w:r>
      <w:r>
        <w:rPr>
          <w:rFonts w:ascii="宋体" w:hAnsi="宋体" w:eastAsia="宋体"/>
          <w:b w:val="0"/>
          <w:sz w:val="24"/>
        </w:rPr>
        <w:t>：判定只是提示，必须逐条裁决（确认/误报/忽略）并签字才写档；标"误报"的条目沉淀下来，用于后续修订规则。</w:t>
      </w:r>
    </w:p>
    <w:p w14:paraId="4399773F">
      <w:pPr>
        <w:spacing w:after="20"/>
        <w:ind w:left="400" w:firstLine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出可执行产物</w:t>
      </w:r>
      <w:r>
        <w:rPr>
          <w:rFonts w:ascii="宋体" w:hAnsi="宋体" w:eastAsia="宋体"/>
          <w:b w:val="0"/>
          <w:sz w:val="24"/>
        </w:rPr>
        <w:t>：黄态出整改单（改哪、怎么改、依据哪条、几天内、谁签收），绿态出档案（可打印、可脱敏）。</w:t>
      </w:r>
    </w:p>
    <w:p w14:paraId="7AF64616">
      <w:pPr>
        <w:spacing w:after="20"/>
        <w:ind w:left="400" w:firstLine="0"/>
        <w:rPr>
          <w:rFonts w:ascii="宋体" w:hAnsi="宋体" w:eastAsia="宋体"/>
          <w:b w:val="0"/>
          <w:sz w:val="24"/>
        </w:rPr>
      </w:pPr>
    </w:p>
    <w:p w14:paraId="1697E864">
      <w:pPr>
        <w:spacing w:after="20"/>
        <w:ind w:left="400" w:firstLine="0"/>
        <w:rPr>
          <w:rFonts w:ascii="宋体" w:hAnsi="宋体" w:eastAsia="宋体"/>
          <w:b w:val="0"/>
          <w:sz w:val="24"/>
        </w:rPr>
      </w:pPr>
    </w:p>
    <w:p w14:paraId="13C1D665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四、已经验证到什么程度</w:t>
      </w:r>
    </w:p>
    <w:p w14:paraId="3D6B5448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规则库</w:t>
      </w:r>
      <w:r>
        <w:rPr>
          <w:rFonts w:ascii="宋体" w:hAnsi="宋体" w:eastAsia="宋体"/>
          <w:b w:val="0"/>
          <w:sz w:val="24"/>
        </w:rPr>
        <w:t>：21 条结构化规则（v0.2 修订稿），</w:t>
      </w:r>
      <w:r>
        <w:rPr>
          <w:rFonts w:ascii="宋体" w:hAnsi="宋体" w:eastAsia="宋体"/>
          <w:b/>
          <w:sz w:val="24"/>
        </w:rPr>
        <w:t>18 条已接入引擎</w:t>
      </w:r>
      <w:r>
        <w:rPr>
          <w:rFonts w:ascii="宋体" w:hAnsi="宋体" w:eastAsia="宋体"/>
          <w:b w:val="0"/>
          <w:sz w:val="24"/>
        </w:rPr>
        <w:t>，3 条未启用并在查看页显式标注"未启用"。</w:t>
      </w:r>
    </w:p>
    <w:p w14:paraId="64B62B0C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自测</w:t>
      </w:r>
      <w:r>
        <w:rPr>
          <w:rFonts w:ascii="宋体" w:hAnsi="宋体" w:eastAsia="宋体"/>
          <w:b w:val="0"/>
          <w:sz w:val="24"/>
        </w:rPr>
        <w:t>：48 条用例，</w:t>
      </w:r>
      <w:r>
        <w:rPr>
          <w:rFonts w:ascii="宋体" w:hAnsi="宋体" w:eastAsia="宋体"/>
          <w:b/>
          <w:sz w:val="24"/>
        </w:rPr>
        <w:t>48/48 通过</w:t>
      </w:r>
      <w:r>
        <w:rPr>
          <w:rFonts w:ascii="宋体" w:hAnsi="宋体" w:eastAsia="宋体"/>
          <w:b w:val="0"/>
          <w:sz w:val="24"/>
        </w:rPr>
        <w:t>，含反向用例防误判（"最后一天""第一场直播""非畜禽"等均不误报）。</w:t>
      </w:r>
    </w:p>
    <w:p w14:paraId="295FB64C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案例</w:t>
      </w:r>
      <w:r>
        <w:rPr>
          <w:rFonts w:ascii="宋体" w:hAnsi="宋体" w:eastAsia="宋体"/>
          <w:b w:val="0"/>
          <w:sz w:val="24"/>
        </w:rPr>
        <w:t>：三组实跑留证——绿（烟台苹果）、黄（莱阳梨膏，出整改单）、红/灰（冒用检测报告、资料缺失）。</w:t>
      </w:r>
    </w:p>
    <w:p w14:paraId="7530F217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依据</w:t>
      </w:r>
      <w:r>
        <w:rPr>
          <w:rFonts w:ascii="宋体" w:hAnsi="宋体" w:eastAsia="宋体"/>
          <w:b w:val="0"/>
          <w:sz w:val="24"/>
        </w:rPr>
        <w:t xml:space="preserve">：已核对原文并留链——广告法 9（三）/17/18 条、食安法 34（八）（十）/35/73/78 条、GB 7718 §4.1.1、GB 28050 第 7 章，以及 </w:t>
      </w:r>
      <w:r>
        <w:rPr>
          <w:rFonts w:ascii="宋体" w:hAnsi="宋体" w:eastAsia="宋体"/>
          <w:b/>
          <w:sz w:val="24"/>
        </w:rPr>
        <w:t>2026-03-20 施行的总局令第 120 号第 16/18/19 条</w:t>
      </w:r>
      <w:r>
        <w:rPr>
          <w:rFonts w:ascii="宋体" w:hAnsi="宋体" w:eastAsia="宋体"/>
          <w:b w:val="0"/>
          <w:sz w:val="24"/>
        </w:rPr>
        <w:t>；其余标【待核对】。</w:t>
      </w:r>
    </w:p>
    <w:p w14:paraId="33AC3074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五、技术与边界</w:t>
      </w:r>
    </w:p>
    <w:p w14:paraId="0B6914FD">
      <w:pPr>
        <w:spacing w:after="20"/>
      </w:pPr>
      <w:r>
        <w:rPr>
          <w:rFonts w:ascii="宋体" w:hAnsi="宋体" w:eastAsia="宋体"/>
          <w:b/>
          <w:sz w:val="24"/>
        </w:rPr>
        <w:t>技术形态</w:t>
      </w:r>
      <w:r>
        <w:rPr>
          <w:rFonts w:ascii="宋体" w:hAnsi="宋体" w:eastAsia="宋体"/>
          <w:b w:val="0"/>
          <w:sz w:val="24"/>
        </w:rPr>
        <w:t xml:space="preserve">：纯前端、零后端、零构建，双击 </w:t>
      </w:r>
      <w:r>
        <w:rPr>
          <w:rFonts w:ascii="等线" w:hAnsi="等线" w:eastAsia="等线"/>
          <w:b w:val="0"/>
          <w:sz w:val="23"/>
        </w:rPr>
        <w:t>index.html</w:t>
      </w:r>
      <w:r>
        <w:rPr>
          <w:rFonts w:ascii="宋体" w:hAnsi="宋体" w:eastAsia="宋体"/>
          <w:b w:val="0"/>
          <w:sz w:val="24"/>
        </w:rPr>
        <w:t xml:space="preserve"> 即用；数据只存本机浏览器。仅一个可选的多模态 OCR（未配置密钥则完全离线可用）。</w:t>
      </w:r>
    </w:p>
    <w:p w14:paraId="2BED196F">
      <w:pPr>
        <w:spacing w:after="20"/>
      </w:pPr>
      <w:r>
        <w:rPr>
          <w:rFonts w:ascii="宋体" w:hAnsi="宋体" w:eastAsia="宋体"/>
          <w:b w:val="0"/>
          <w:sz w:val="24"/>
        </w:rPr>
        <w:t>我们不做的三件事，既写进产品文案，也写进说明文档：</w:t>
      </w:r>
    </w:p>
    <w:p w14:paraId="676D7C9B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不生成法条</w:t>
      </w:r>
      <w:r>
        <w:rPr>
          <w:rFonts w:ascii="宋体" w:hAnsi="宋体" w:eastAsia="宋体"/>
          <w:b w:val="0"/>
          <w:sz w:val="24"/>
        </w:rPr>
        <w:t>：依据全部来自人工编审的规则库；USCC 只做校验位实算、SC 只校结构，</w:t>
      </w:r>
      <w:r>
        <w:rPr>
          <w:rFonts w:ascii="宋体" w:hAnsi="宋体" w:eastAsia="宋体"/>
          <w:b/>
          <w:sz w:val="24"/>
        </w:rPr>
        <w:t>不声称联网验真</w:t>
      </w:r>
      <w:r>
        <w:rPr>
          <w:rFonts w:ascii="宋体" w:hAnsi="宋体" w:eastAsia="宋体"/>
          <w:b w:val="0"/>
          <w:sz w:val="24"/>
        </w:rPr>
        <w:t>；</w:t>
      </w:r>
    </w:p>
    <w:p w14:paraId="593E378D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不鉴定报告真伪</w:t>
      </w:r>
      <w:r>
        <w:rPr>
          <w:rFonts w:ascii="宋体" w:hAnsi="宋体" w:eastAsia="宋体"/>
          <w:b w:val="0"/>
          <w:sz w:val="24"/>
        </w:rPr>
        <w:t>：只识别"报告与申报品对不上"这一可复核事实；</w:t>
      </w:r>
    </w:p>
    <w:p w14:paraId="3426248D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不替人下结论</w:t>
      </w:r>
      <w:r>
        <w:rPr>
          <w:rFonts w:ascii="宋体" w:hAnsi="宋体" w:eastAsia="宋体"/>
          <w:b w:val="0"/>
          <w:sz w:val="24"/>
        </w:rPr>
        <w:t>：AI 语义只提示、不判定，结论须人工签字。</w:t>
      </w:r>
    </w:p>
    <w:p w14:paraId="475D02D0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六、价值</w:t>
      </w:r>
    </w:p>
    <w:p w14:paraId="0AB73A5C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对选品员</w:t>
      </w:r>
      <w:r>
        <w:rPr>
          <w:rFonts w:ascii="宋体" w:hAnsi="宋体" w:eastAsia="宋体"/>
          <w:b w:val="0"/>
          <w:sz w:val="24"/>
        </w:rPr>
        <w:t>：3 分钟出结论，直接知道改哪里，不用翻法条。</w:t>
      </w:r>
    </w:p>
    <w:p w14:paraId="09B26357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对基地</w:t>
      </w:r>
      <w:r>
        <w:rPr>
          <w:rFonts w:ascii="宋体" w:hAnsi="宋体" w:eastAsia="宋体"/>
          <w:b w:val="0"/>
          <w:sz w:val="24"/>
        </w:rPr>
        <w:t>：减少下播、退货与重复沟通的损失；档案留痕，可复盘责任链。</w:t>
      </w:r>
    </w:p>
    <w:p w14:paraId="0C7CAC5F">
      <w:pPr>
        <w:spacing w:after="20"/>
        <w:ind w:left="36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对监管协同</w:t>
      </w:r>
      <w:r>
        <w:rPr>
          <w:rFonts w:ascii="宋体" w:hAnsi="宋体" w:eastAsia="宋体"/>
          <w:b w:val="0"/>
          <w:sz w:val="24"/>
        </w:rPr>
        <w:t>：档案含规则库版本、依据截至时间、核验结果与审核签字，结论可追溯。</w:t>
      </w:r>
    </w:p>
    <w:p w14:paraId="070FD133">
      <w:pPr>
        <w:spacing w:before="160" w:after="60" w:line="312" w:lineRule="auto"/>
        <w:ind w:firstLine="0"/>
      </w:pPr>
      <w:r>
        <w:rPr>
          <w:rFonts w:ascii="黑体" w:hAnsi="黑体" w:eastAsia="黑体"/>
          <w:b/>
          <w:sz w:val="25"/>
        </w:rPr>
        <w:t>七、下一步</w:t>
      </w:r>
    </w:p>
    <w:p w14:paraId="671C4321">
      <w:pPr>
        <w:spacing w:after="20"/>
      </w:pPr>
      <w:r>
        <w:rPr>
          <w:rFonts w:ascii="宋体" w:hAnsi="宋体" w:eastAsia="宋体"/>
          <w:b w:val="0"/>
          <w:sz w:val="24"/>
        </w:rPr>
        <w:t>接入 SC 分类目录与保健食品功能范围，使余下 3 条规则上线；规则库经人工编审后升 v1.0；扩展快手、淘宝规则线。</w:t>
      </w:r>
    </w:p>
    <w:p w14:paraId="18646A75">
      <w:pPr>
        <w:ind w:firstLine="0"/>
        <w:jc w:val="center"/>
      </w:pPr>
      <w:r>
        <w:rPr>
          <w:rFonts w:ascii="楷体" w:hAnsi="楷体" w:eastAsia="楷体"/>
          <w:b w:val="0"/>
          <w:sz w:val="21"/>
        </w:rPr>
        <w:t>作品形态：单文件网页应用｜规则库 v0.2（修订稿）｜团队 / 学校：先检后播 / 山东农业工程学院</w:t>
      </w:r>
      <w:bookmarkStart w:id="0" w:name="_GoBack"/>
      <w:bookmarkEnd w:id="0"/>
      <w:r>
        <w:rPr>
          <w:rFonts w:ascii="楷体" w:hAnsi="楷体" w:eastAsia="楷体"/>
          <w:b w:val="0"/>
          <w:sz w:val="21"/>
        </w:rPr>
      </w:r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Er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Eran">
    <w:panose1 w:val="02000609000000000000"/>
    <w:charset w:val="80"/>
    <w:family w:val="auto"/>
    <w:pitch w:val="default"/>
    <w:sig w:usb0="A00002BF" w:usb1="68C7FCFB" w:usb2="00000000" w:usb3="00000000" w:csb0="4002000F" w:csb1="D2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9B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20" w:line="33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1217</Words>
  <Characters>1302</Characters>
  <Lines>0</Lines>
  <Paragraphs>0</Paragraphs>
  <TotalTime>3</TotalTime>
  <ScaleCrop>false</ScaleCrop>
  <LinksUpToDate>false</LinksUpToDate>
  <CharactersWithSpaces>1371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李政轩</cp:lastModifiedBy>
  <dcterms:modified xsi:type="dcterms:W3CDTF">2026-10-25T07:31:35Z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eyJoZGlkIjoiYmIzOWRkZGIzYjY2MjQ4YjEyYWZjMDI5OWI1OGMxZjkiLCJ1c2VySWQiOiIxNzkxMDI2NzU3In0=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4B517999E0E748968F65FCE9CDBB1C15_12</vt:lpwstr>
  </property>
</Properties>
</file>