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2AF34F">
      <w:pPr>
        <w:ind w:left="0" w:leftChars="0" w:firstLine="0" w:firstLineChars="0"/>
        <w:rPr>
          <w:rFonts w:ascii="黑体" w:hAnsi="黑体" w:eastAsia="黑体"/>
          <w:b/>
          <w:sz w:val="48"/>
        </w:rPr>
      </w:pPr>
    </w:p>
    <w:p w14:paraId="7CC54CFE">
      <w:pPr>
        <w:ind w:left="0" w:leftChars="0" w:firstLine="0" w:firstLineChars="0"/>
        <w:rPr>
          <w:rFonts w:ascii="黑体" w:hAnsi="黑体" w:eastAsia="黑体"/>
          <w:b/>
          <w:sz w:val="48"/>
        </w:rPr>
      </w:pPr>
    </w:p>
    <w:p w14:paraId="24E61C8E">
      <w:pPr>
        <w:ind w:left="0" w:leftChars="0" w:firstLine="0" w:firstLineChars="0"/>
        <w:rPr>
          <w:rFonts w:ascii="黑体" w:hAnsi="黑体" w:eastAsia="黑体"/>
          <w:b/>
          <w:sz w:val="48"/>
        </w:rPr>
      </w:pPr>
    </w:p>
    <w:p w14:paraId="40765955">
      <w:pPr>
        <w:ind w:left="0" w:leftChars="0" w:firstLine="0" w:firstLineChars="0"/>
        <w:rPr>
          <w:rFonts w:ascii="黑体" w:hAnsi="黑体" w:eastAsia="黑体"/>
          <w:b/>
          <w:sz w:val="48"/>
        </w:rPr>
      </w:pPr>
    </w:p>
    <w:p w14:paraId="1521E39F">
      <w:pPr>
        <w:ind w:left="0" w:leftChars="0" w:firstLine="0" w:firstLineChars="0"/>
        <w:rPr>
          <w:rFonts w:ascii="黑体" w:hAnsi="黑体" w:eastAsia="黑体"/>
          <w:b/>
          <w:sz w:val="48"/>
        </w:rPr>
      </w:pPr>
    </w:p>
    <w:p w14:paraId="12703CED">
      <w:pPr>
        <w:ind w:left="0" w:leftChars="0" w:firstLine="0" w:firstLineChars="0"/>
      </w:pPr>
      <w:r>
        <w:rPr>
          <w:rFonts w:ascii="黑体" w:hAnsi="黑体" w:eastAsia="黑体"/>
          <w:b/>
          <w:sz w:val="48"/>
        </w:rPr>
        <w:t>上播前·选品体检 —— 技术说明文档</w:t>
      </w:r>
    </w:p>
    <w:p w14:paraId="4D904D38">
      <w:pPr>
        <w:spacing w:before="480"/>
        <w:jc w:val="center"/>
      </w:pPr>
      <w:r>
        <w:rPr>
          <w:rFonts w:ascii="宋体" w:hAnsi="宋体" w:eastAsia="宋体"/>
          <w:b w:val="0"/>
          <w:sz w:val="28"/>
        </w:rPr>
        <w:t>2026 山东省首届大学生 AI 大模型创新传播大赛 · 赛道三</w:t>
      </w:r>
    </w:p>
    <w:p w14:paraId="33F259AA">
      <w:pPr>
        <w:spacing w:before="120"/>
        <w:jc w:val="center"/>
      </w:pPr>
      <w:r>
        <w:rPr>
          <w:rFonts w:ascii="宋体" w:hAnsi="宋体" w:eastAsia="宋体"/>
          <w:b w:val="0"/>
          <w:sz w:val="28"/>
        </w:rPr>
        <w:t>参赛团队：</w:t>
      </w:r>
      <w:r>
        <w:rPr>
          <w:rFonts w:ascii="宋体" w:hAnsi="宋体" w:eastAsia="宋体"/>
          <w:b w:val="0"/>
          <w:sz w:val="28"/>
          <w:u w:val="single"/>
        </w:rPr>
        <w:t>___</w:t>
      </w:r>
      <w:bookmarkStart w:id="0" w:name="_GoBack"/>
      <w:bookmarkEnd w:id="0"/>
      <w:r>
        <w:rPr>
          <w:rFonts w:ascii="宋体" w:hAnsi="宋体" w:eastAsia="宋体"/>
          <w:b w:val="0"/>
          <w:sz w:val="28"/>
          <w:u w:val="single"/>
        </w:rPr>
        <w:t>_</w:t>
      </w:r>
      <w:r>
        <w:rPr>
          <w:rFonts w:hint="eastAsia"/>
          <w:b w:val="0"/>
          <w:sz w:val="28"/>
          <w:u w:val="single"/>
          <w:lang w:val="en-US" w:eastAsia="zh-CN"/>
        </w:rPr>
        <w:t>先检后播</w:t>
      </w:r>
      <w:r>
        <w:rPr>
          <w:rFonts w:ascii="宋体" w:hAnsi="宋体" w:eastAsia="宋体"/>
          <w:b w:val="0"/>
          <w:sz w:val="28"/>
          <w:u w:val="single"/>
        </w:rPr>
        <w:t>____</w:t>
      </w:r>
      <w:r>
        <w:rPr>
          <w:rFonts w:ascii="宋体" w:hAnsi="宋体" w:eastAsia="宋体"/>
          <w:b w:val="0"/>
          <w:sz w:val="28"/>
        </w:rPr>
        <w:t>　　学校：</w:t>
      </w:r>
      <w:r>
        <w:rPr>
          <w:rFonts w:ascii="宋体" w:hAnsi="宋体" w:eastAsia="宋体"/>
          <w:b w:val="0"/>
          <w:sz w:val="28"/>
          <w:u w:val="single"/>
        </w:rPr>
        <w:t>___</w:t>
      </w:r>
      <w:r>
        <w:rPr>
          <w:rFonts w:hint="eastAsia"/>
          <w:b w:val="0"/>
          <w:sz w:val="28"/>
          <w:u w:val="single"/>
          <w:lang w:val="en-US" w:eastAsia="zh-CN"/>
        </w:rPr>
        <w:t>山东农业工程学院</w:t>
      </w:r>
      <w:r>
        <w:rPr>
          <w:rFonts w:ascii="宋体" w:hAnsi="宋体" w:eastAsia="宋体"/>
          <w:b w:val="0"/>
          <w:sz w:val="28"/>
          <w:u w:val="single"/>
        </w:rPr>
        <w:t>___</w:t>
      </w:r>
    </w:p>
    <w:p w14:paraId="6D19AB9B">
      <w:pPr>
        <w:spacing w:before="120"/>
        <w:jc w:val="center"/>
      </w:pPr>
      <w:r>
        <w:rPr>
          <w:rFonts w:ascii="宋体" w:hAnsi="宋体" w:eastAsia="宋体"/>
          <w:b w:val="0"/>
          <w:sz w:val="28"/>
        </w:rPr>
        <w:t>2026 年 10 月</w:t>
      </w:r>
    </w:p>
    <w:p w14:paraId="79B5A7C4">
      <w:r>
        <w:br w:type="page"/>
      </w:r>
    </w:p>
    <w:p w14:paraId="7753D5FC">
      <w:pPr>
        <w:spacing w:before="120" w:after="120" w:line="360" w:lineRule="auto"/>
        <w:ind w:firstLine="0"/>
        <w:jc w:val="center"/>
      </w:pPr>
      <w:r>
        <w:rPr>
          <w:rFonts w:ascii="黑体" w:hAnsi="黑体" w:eastAsia="黑体"/>
          <w:b w:val="0"/>
          <w:sz w:val="36"/>
        </w:rPr>
        <w:t>上播前·选品体检 —— 技术说明文档</w:t>
      </w:r>
    </w:p>
    <w:p w14:paraId="6FE4386C"/>
    <w:p w14:paraId="63155BAE">
      <w:pPr>
        <w:spacing w:before="0" w:after="60" w:line="360" w:lineRule="auto"/>
        <w:ind w:firstLine="480"/>
      </w:pPr>
      <w:r>
        <w:rPr>
          <w:rFonts w:ascii="宋体" w:hAnsi="宋体" w:eastAsia="宋体"/>
          <w:b/>
          <w:sz w:val="24"/>
        </w:rPr>
        <w:t>作品名称</w:t>
      </w:r>
      <w:r>
        <w:rPr>
          <w:rFonts w:ascii="宋体" w:hAnsi="宋体" w:eastAsia="宋体"/>
          <w:b w:val="0"/>
          <w:sz w:val="24"/>
        </w:rPr>
        <w:t>：上播前·选品体检（直播营销选品合规决策工具）</w:t>
      </w:r>
    </w:p>
    <w:p w14:paraId="3015F330">
      <w:pPr>
        <w:spacing w:before="0" w:after="60" w:line="360" w:lineRule="auto"/>
        <w:ind w:firstLine="480"/>
      </w:pPr>
      <w:r>
        <w:rPr>
          <w:rFonts w:ascii="宋体" w:hAnsi="宋体" w:eastAsia="宋体"/>
          <w:b/>
          <w:sz w:val="24"/>
        </w:rPr>
        <w:t>参赛赛道</w:t>
      </w:r>
      <w:r>
        <w:rPr>
          <w:rFonts w:ascii="宋体" w:hAnsi="宋体" w:eastAsia="宋体"/>
          <w:b w:val="0"/>
          <w:sz w:val="24"/>
        </w:rPr>
        <w:t>：2026 山东省首届大学生 AI 大模型创新传播大赛 · 赛道三（AI 传播工具创新）</w:t>
      </w:r>
    </w:p>
    <w:p w14:paraId="79F77577">
      <w:pPr>
        <w:spacing w:before="0" w:after="60" w:line="360" w:lineRule="auto"/>
        <w:ind w:firstLine="480"/>
      </w:pPr>
      <w:r>
        <w:rPr>
          <w:rFonts w:ascii="宋体" w:hAnsi="宋体" w:eastAsia="宋体"/>
          <w:b/>
          <w:sz w:val="24"/>
        </w:rPr>
        <w:t>文档版本</w:t>
      </w:r>
      <w:r>
        <w:rPr>
          <w:rFonts w:ascii="宋体" w:hAnsi="宋体" w:eastAsia="宋体"/>
          <w:b w:val="0"/>
          <w:sz w:val="24"/>
        </w:rPr>
        <w:t>：v1.0　</w:t>
      </w:r>
      <w:r>
        <w:rPr>
          <w:rFonts w:ascii="宋体" w:hAnsi="宋体" w:eastAsia="宋体"/>
          <w:b/>
          <w:sz w:val="24"/>
        </w:rPr>
        <w:t>编制日期</w:t>
      </w:r>
      <w:r>
        <w:rPr>
          <w:rFonts w:ascii="宋体" w:hAnsi="宋体" w:eastAsia="宋体"/>
          <w:b w:val="0"/>
          <w:sz w:val="24"/>
        </w:rPr>
        <w:t>：2026-10-25</w:t>
      </w:r>
    </w:p>
    <w:p w14:paraId="486DB800">
      <w:pPr>
        <w:spacing w:before="0" w:after="60" w:line="360" w:lineRule="auto"/>
        <w:ind w:firstLine="480"/>
        <w:rPr>
          <w:rFonts w:hint="eastAsia" w:eastAsia="宋体"/>
          <w:lang w:val="en-US" w:eastAsia="zh-CN"/>
        </w:rPr>
      </w:pPr>
      <w:r>
        <w:rPr>
          <w:rFonts w:ascii="宋体" w:hAnsi="宋体" w:eastAsia="宋体"/>
          <w:b/>
          <w:sz w:val="24"/>
        </w:rPr>
        <w:t>学校</w:t>
      </w:r>
      <w:r>
        <w:rPr>
          <w:rFonts w:ascii="宋体" w:hAnsi="宋体" w:eastAsia="宋体"/>
          <w:b w:val="0"/>
          <w:sz w:val="24"/>
        </w:rPr>
        <w:t>：</w:t>
      </w:r>
      <w:r>
        <w:rPr>
          <w:rFonts w:hint="eastAsia"/>
          <w:b w:val="0"/>
          <w:sz w:val="24"/>
          <w:lang w:val="en-US" w:eastAsia="zh-CN"/>
        </w:rPr>
        <w:t>山东农业工程学院</w:t>
      </w:r>
    </w:p>
    <w:p w14:paraId="05FFC248">
      <w:pPr>
        <w:spacing w:before="240" w:after="120" w:line="360" w:lineRule="auto"/>
        <w:ind w:firstLine="0"/>
      </w:pPr>
      <w:r>
        <w:rPr>
          <w:rFonts w:ascii="黑体" w:hAnsi="黑体" w:eastAsia="黑体"/>
          <w:b w:val="0"/>
          <w:sz w:val="32"/>
        </w:rPr>
        <w:t>一、作品概述</w:t>
      </w:r>
    </w:p>
    <w:p w14:paraId="59FBA9BB"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「上播前·选品体检」是一款面向助农直播基地选品员、运营人员的</w:t>
      </w:r>
      <w:r>
        <w:rPr>
          <w:rFonts w:ascii="宋体" w:hAnsi="宋体" w:eastAsia="宋体"/>
          <w:b/>
          <w:sz w:val="24"/>
        </w:rPr>
        <w:t>选品合规决策工具</w:t>
      </w:r>
      <w:r>
        <w:rPr>
          <w:rFonts w:ascii="宋体" w:hAnsi="宋体" w:eastAsia="宋体"/>
          <w:b w:val="0"/>
          <w:sz w:val="24"/>
        </w:rPr>
        <w:t>。它把"这个品能不能上播、缺什么、怎么改"这三件事，做成一条六步可复跑的流水线：</w:t>
      </w:r>
      <w:r>
        <w:rPr>
          <w:rFonts w:ascii="宋体" w:hAnsi="宋体" w:eastAsia="宋体"/>
          <w:b/>
          <w:sz w:val="24"/>
        </w:rPr>
        <w:t>分流 → 资料录入 → 证据核验 → 规则判定 → 人工审核 → 档案/整改单</w:t>
      </w:r>
      <w:r>
        <w:rPr>
          <w:rFonts w:ascii="宋体" w:hAnsi="宋体" w:eastAsia="宋体"/>
          <w:b w:val="0"/>
          <w:sz w:val="24"/>
        </w:rPr>
        <w:t>。</w:t>
      </w:r>
    </w:p>
    <w:p w14:paraId="3F420441"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产品的核心不是</w:t>
      </w:r>
      <w:r>
        <w:rPr>
          <w:rFonts w:hint="eastAsia"/>
          <w:b w:val="0"/>
          <w:sz w:val="24"/>
          <w:lang w:eastAsia="zh-CN"/>
        </w:rPr>
        <w:t>“</w:t>
      </w:r>
      <w:r>
        <w:rPr>
          <w:rFonts w:ascii="宋体" w:hAnsi="宋体" w:eastAsia="宋体"/>
          <w:b w:val="0"/>
          <w:sz w:val="24"/>
        </w:rPr>
        <w:t>查违禁词</w:t>
      </w:r>
      <w:r>
        <w:rPr>
          <w:rFonts w:hint="eastAsia"/>
          <w:b w:val="0"/>
          <w:sz w:val="24"/>
          <w:lang w:eastAsia="zh-CN"/>
        </w:rPr>
        <w:t>”</w:t>
      </w:r>
      <w:r>
        <w:rPr>
          <w:rFonts w:ascii="宋体" w:hAnsi="宋体" w:eastAsia="宋体"/>
          <w:b w:val="0"/>
          <w:sz w:val="24"/>
        </w:rPr>
        <w:t>，而是</w:t>
      </w:r>
      <w:r>
        <w:rPr>
          <w:rFonts w:ascii="宋体" w:hAnsi="宋体" w:eastAsia="宋体"/>
          <w:b/>
          <w:sz w:val="24"/>
        </w:rPr>
        <w:t>分级判定 + 人工签字留痕 + 可溯源导出</w:t>
      </w:r>
      <w:r>
        <w:rPr>
          <w:rFonts w:ascii="宋体" w:hAnsi="宋体" w:eastAsia="宋体"/>
          <w:b w:val="0"/>
          <w:sz w:val="24"/>
        </w:rPr>
        <w:t>的决策工作流。判定结果分为四种状态：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2"/>
        <w:gridCol w:w="2882"/>
      </w:tblGrid>
      <w:tr w14:paraId="31643A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64FAAB9E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状态</w:t>
            </w:r>
          </w:p>
        </w:tc>
        <w:tc>
          <w:tcPr>
            <w:tcW w:w="2882" w:type="dxa"/>
          </w:tcPr>
          <w:p w14:paraId="618D79E9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含义</w:t>
            </w:r>
          </w:p>
        </w:tc>
        <w:tc>
          <w:tcPr>
            <w:tcW w:w="2882" w:type="dxa"/>
          </w:tcPr>
          <w:p w14:paraId="59F453AE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处置</w:t>
            </w:r>
          </w:p>
        </w:tc>
      </w:tr>
      <w:tr w14:paraId="449D10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19C2B0F5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红·禁播</w:t>
            </w:r>
          </w:p>
        </w:tc>
        <w:tc>
          <w:tcPr>
            <w:tcW w:w="2882" w:type="dxa"/>
          </w:tcPr>
          <w:p w14:paraId="5C2977B8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存在硬性违法/违规事实</w:t>
            </w:r>
          </w:p>
        </w:tc>
        <w:tc>
          <w:tcPr>
            <w:tcW w:w="2882" w:type="dxa"/>
          </w:tcPr>
          <w:p w14:paraId="3DD17E00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禁播，不出整改单</w:t>
            </w:r>
          </w:p>
        </w:tc>
      </w:tr>
      <w:tr w14:paraId="435BE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19160FF0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黄·整改</w:t>
            </w:r>
          </w:p>
        </w:tc>
        <w:tc>
          <w:tcPr>
            <w:tcW w:w="2882" w:type="dxa"/>
          </w:tcPr>
          <w:p w14:paraId="7D0E6261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整改后可播：待核验 / 缺项 / 表述需修改</w:t>
            </w:r>
          </w:p>
        </w:tc>
        <w:tc>
          <w:tcPr>
            <w:tcW w:w="2882" w:type="dxa"/>
          </w:tcPr>
          <w:p w14:paraId="30382580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出整改单，限期 7 日</w:t>
            </w:r>
          </w:p>
        </w:tc>
      </w:tr>
      <w:tr w14:paraId="1B4BE5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01B7181B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绿·可播</w:t>
            </w:r>
          </w:p>
        </w:tc>
        <w:tc>
          <w:tcPr>
            <w:tcW w:w="2882" w:type="dxa"/>
          </w:tcPr>
          <w:p w14:paraId="775A74C2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类型正确、资质齐全有效、宣称合规</w:t>
            </w:r>
          </w:p>
        </w:tc>
        <w:tc>
          <w:tcPr>
            <w:tcW w:w="2882" w:type="dxa"/>
          </w:tcPr>
          <w:p w14:paraId="125E9C4C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出具通过档案</w:t>
            </w:r>
          </w:p>
        </w:tc>
      </w:tr>
      <w:tr w14:paraId="7A28A9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3699BF62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灰·信息不足</w:t>
            </w:r>
          </w:p>
        </w:tc>
        <w:tc>
          <w:tcPr>
            <w:tcW w:w="2882" w:type="dxa"/>
          </w:tcPr>
          <w:p w14:paraId="36746DAB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无法判定，</w:t>
            </w:r>
            <w:r>
              <w:rPr>
                <w:rFonts w:ascii="宋体" w:hAnsi="宋体" w:eastAsia="宋体"/>
                <w:b/>
                <w:sz w:val="21"/>
              </w:rPr>
              <w:t>不误判为违规</w:t>
            </w:r>
          </w:p>
        </w:tc>
        <w:tc>
          <w:tcPr>
            <w:tcW w:w="2882" w:type="dxa"/>
          </w:tcPr>
          <w:p w14:paraId="755A44B0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出待补充材料清单</w:t>
            </w:r>
          </w:p>
        </w:tc>
      </w:tr>
    </w:tbl>
    <w:p w14:paraId="0706A041">
      <w:pPr>
        <w:spacing w:after="40"/>
      </w:pPr>
    </w:p>
    <w:p w14:paraId="46959484">
      <w:pPr>
        <w:spacing w:before="0" w:after="60" w:line="360" w:lineRule="auto"/>
        <w:ind w:firstLine="480"/>
        <w:rPr>
          <w:rFonts w:ascii="宋体" w:hAnsi="宋体" w:eastAsia="宋体"/>
          <w:b w:val="0"/>
          <w:sz w:val="24"/>
        </w:rPr>
      </w:pPr>
      <w:r>
        <w:rPr>
          <w:rFonts w:ascii="宋体" w:hAnsi="宋体" w:eastAsia="宋体"/>
          <w:b/>
          <w:sz w:val="24"/>
        </w:rPr>
        <w:t>技术形态</w:t>
      </w:r>
      <w:r>
        <w:rPr>
          <w:rFonts w:ascii="宋体" w:hAnsi="宋体" w:eastAsia="宋体"/>
          <w:b w:val="0"/>
          <w:sz w:val="24"/>
        </w:rPr>
        <w:t>：纯前端单页应用（HTML + CSS + JavaScript），</w:t>
      </w:r>
      <w:r>
        <w:rPr>
          <w:rFonts w:ascii="宋体" w:hAnsi="宋体" w:eastAsia="宋体"/>
          <w:b/>
          <w:sz w:val="24"/>
        </w:rPr>
        <w:t>零后端、零构建、零安装</w:t>
      </w:r>
      <w:r>
        <w:rPr>
          <w:rFonts w:ascii="宋体" w:hAnsi="宋体" w:eastAsia="宋体"/>
          <w:b w:val="0"/>
          <w:sz w:val="24"/>
        </w:rPr>
        <w:t xml:space="preserve">，双击 </w:t>
      </w:r>
      <w:r>
        <w:rPr>
          <w:rFonts w:ascii="等线" w:hAnsi="等线" w:eastAsia="等线"/>
          <w:b w:val="0"/>
          <w:sz w:val="22"/>
        </w:rPr>
        <w:t>index.html</w:t>
      </w:r>
      <w:r>
        <w:rPr>
          <w:rFonts w:ascii="宋体" w:hAnsi="宋体" w:eastAsia="宋体"/>
          <w:b w:val="0"/>
          <w:sz w:val="24"/>
        </w:rPr>
        <w:t xml:space="preserve"> 即可运行；所有数据留在本机浏览器，不上传云端。</w:t>
      </w:r>
    </w:p>
    <w:p w14:paraId="4830BEB7">
      <w:pPr>
        <w:spacing w:before="0" w:after="60" w:line="360" w:lineRule="auto"/>
        <w:ind w:firstLine="480"/>
        <w:rPr>
          <w:rFonts w:ascii="宋体" w:hAnsi="宋体" w:eastAsia="宋体"/>
          <w:b w:val="0"/>
          <w:sz w:val="24"/>
        </w:rPr>
      </w:pPr>
    </w:p>
    <w:p w14:paraId="4B47EE39">
      <w:pPr>
        <w:spacing w:before="240" w:after="120" w:line="360" w:lineRule="auto"/>
        <w:ind w:firstLine="0"/>
      </w:pPr>
      <w:r>
        <w:rPr>
          <w:rFonts w:ascii="黑体" w:hAnsi="黑体" w:eastAsia="黑体"/>
          <w:b w:val="0"/>
          <w:sz w:val="32"/>
        </w:rPr>
        <w:t>二、技术架构</w:t>
      </w:r>
    </w:p>
    <w:p w14:paraId="5919993F">
      <w:pPr>
        <w:spacing w:before="240" w:after="120" w:line="360" w:lineRule="auto"/>
        <w:ind w:firstLine="0"/>
      </w:pPr>
      <w:r>
        <w:rPr>
          <w:rFonts w:ascii="黑体" w:hAnsi="黑体" w:eastAsia="黑体"/>
          <w:b/>
          <w:sz w:val="28"/>
        </w:rPr>
        <w:t>2.1 总体架构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2"/>
        <w:gridCol w:w="2882"/>
      </w:tblGrid>
      <w:tr w14:paraId="234581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62EBD7BF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层</w:t>
            </w:r>
          </w:p>
        </w:tc>
        <w:tc>
          <w:tcPr>
            <w:tcW w:w="2882" w:type="dxa"/>
          </w:tcPr>
          <w:p w14:paraId="6225999D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组成</w:t>
            </w:r>
          </w:p>
        </w:tc>
        <w:tc>
          <w:tcPr>
            <w:tcW w:w="2882" w:type="dxa"/>
          </w:tcPr>
          <w:p w14:paraId="0FCE3726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运行位置</w:t>
            </w:r>
          </w:p>
        </w:tc>
      </w:tr>
      <w:tr w14:paraId="7733C2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37272400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界面层</w:t>
            </w:r>
          </w:p>
        </w:tc>
        <w:tc>
          <w:tcPr>
            <w:tcW w:w="2882" w:type="dxa"/>
          </w:tcPr>
          <w:p w14:paraId="6CACD565">
            <w:pPr>
              <w:spacing w:before="20" w:after="20" w:line="276" w:lineRule="auto"/>
              <w:ind w:firstLine="0"/>
            </w:pPr>
            <w:r>
              <w:rPr>
                <w:rFonts w:ascii="等线" w:hAnsi="等线" w:eastAsia="等线"/>
                <w:b w:val="0"/>
                <w:sz w:val="19"/>
              </w:rPr>
              <w:t>index.html</w:t>
            </w:r>
            <w:r>
              <w:rPr>
                <w:rFonts w:ascii="宋体" w:hAnsi="宋体" w:eastAsia="宋体"/>
                <w:b w:val="0"/>
                <w:sz w:val="21"/>
              </w:rPr>
              <w:t>（六步流程与各功能区）、</w:t>
            </w:r>
            <w:r>
              <w:rPr>
                <w:rFonts w:ascii="等线" w:hAnsi="等线" w:eastAsia="等线"/>
                <w:b w:val="0"/>
                <w:sz w:val="19"/>
              </w:rPr>
              <w:t>styles/main.css</w:t>
            </w:r>
            <w:r>
              <w:rPr>
                <w:rFonts w:ascii="宋体" w:hAnsi="宋体" w:eastAsia="宋体"/>
                <w:b w:val="0"/>
                <w:sz w:val="21"/>
              </w:rPr>
              <w:t>（含打印样式）</w:t>
            </w:r>
          </w:p>
        </w:tc>
        <w:tc>
          <w:tcPr>
            <w:tcW w:w="2882" w:type="dxa"/>
          </w:tcPr>
          <w:p w14:paraId="000E9850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浏览器本地</w:t>
            </w:r>
          </w:p>
        </w:tc>
      </w:tr>
      <w:tr w14:paraId="509D5C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014300DC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逻辑层</w:t>
            </w:r>
          </w:p>
        </w:tc>
        <w:tc>
          <w:tcPr>
            <w:tcW w:w="2882" w:type="dxa"/>
          </w:tcPr>
          <w:p w14:paraId="3A9BB9F6">
            <w:pPr>
              <w:spacing w:before="20" w:after="20" w:line="276" w:lineRule="auto"/>
              <w:ind w:firstLine="0"/>
            </w:pPr>
            <w:r>
              <w:rPr>
                <w:rFonts w:ascii="等线" w:hAnsi="等线" w:eastAsia="等线"/>
                <w:b w:val="0"/>
                <w:sz w:val="19"/>
              </w:rPr>
              <w:t>js/app.js</w:t>
            </w:r>
            <w:r>
              <w:rPr>
                <w:rFonts w:ascii="宋体" w:hAnsi="宋体" w:eastAsia="宋体"/>
                <w:b w:val="0"/>
                <w:sz w:val="21"/>
              </w:rPr>
              <w:t>（流程控制 / 渲染 / 存储）、</w:t>
            </w:r>
            <w:r>
              <w:rPr>
                <w:rFonts w:ascii="等线" w:hAnsi="等线" w:eastAsia="等线"/>
                <w:b w:val="0"/>
                <w:sz w:val="19"/>
              </w:rPr>
              <w:t>js/engine.js</w:t>
            </w:r>
            <w:r>
              <w:rPr>
                <w:rFonts w:ascii="宋体" w:hAnsi="宋体" w:eastAsia="宋体"/>
                <w:b w:val="0"/>
                <w:sz w:val="21"/>
              </w:rPr>
              <w:t>（规则判定）、</w:t>
            </w:r>
            <w:r>
              <w:rPr>
                <w:rFonts w:ascii="等线" w:hAnsi="等线" w:eastAsia="等线"/>
                <w:b w:val="0"/>
                <w:sz w:val="19"/>
              </w:rPr>
              <w:t>js/validate.js</w:t>
            </w:r>
            <w:r>
              <w:rPr>
                <w:rFonts w:ascii="宋体" w:hAnsi="宋体" w:eastAsia="宋体"/>
                <w:b w:val="0"/>
                <w:sz w:val="21"/>
              </w:rPr>
              <w:t>（字段校验）</w:t>
            </w:r>
          </w:p>
        </w:tc>
        <w:tc>
          <w:tcPr>
            <w:tcW w:w="2882" w:type="dxa"/>
          </w:tcPr>
          <w:p w14:paraId="1D66AA5B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浏览器本地</w:t>
            </w:r>
          </w:p>
        </w:tc>
      </w:tr>
      <w:tr w14:paraId="6F7601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7BE377E2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数据层</w:t>
            </w:r>
          </w:p>
        </w:tc>
        <w:tc>
          <w:tcPr>
            <w:tcW w:w="2882" w:type="dxa"/>
          </w:tcPr>
          <w:p w14:paraId="0B93BE16">
            <w:pPr>
              <w:spacing w:before="20" w:after="20" w:line="276" w:lineRule="auto"/>
              <w:ind w:firstLine="0"/>
            </w:pPr>
            <w:r>
              <w:rPr>
                <w:rFonts w:ascii="等线" w:hAnsi="等线" w:eastAsia="等线"/>
                <w:b w:val="0"/>
                <w:sz w:val="19"/>
              </w:rPr>
              <w:t>data/rules.json</w:t>
            </w:r>
            <w:r>
              <w:rPr>
                <w:rFonts w:ascii="宋体" w:hAnsi="宋体" w:eastAsia="宋体"/>
                <w:b w:val="0"/>
                <w:sz w:val="21"/>
              </w:rPr>
              <w:t xml:space="preserve">（权威源）+ </w:t>
            </w:r>
            <w:r>
              <w:rPr>
                <w:rFonts w:ascii="等线" w:hAnsi="等线" w:eastAsia="等线"/>
                <w:b w:val="0"/>
                <w:sz w:val="19"/>
              </w:rPr>
              <w:t>js/rules-data.js</w:t>
            </w:r>
            <w:r>
              <w:rPr>
                <w:rFonts w:ascii="宋体" w:hAnsi="宋体" w:eastAsia="宋体"/>
                <w:b w:val="0"/>
                <w:sz w:val="21"/>
              </w:rPr>
              <w:t>（运行时镜像）；</w:t>
            </w:r>
            <w:r>
              <w:rPr>
                <w:rFonts w:ascii="等线" w:hAnsi="等线" w:eastAsia="等线"/>
                <w:b w:val="0"/>
                <w:sz w:val="19"/>
              </w:rPr>
              <w:t>localStorage</w:t>
            </w:r>
            <w:r>
              <w:rPr>
                <w:rFonts w:ascii="宋体" w:hAnsi="宋体" w:eastAsia="宋体"/>
                <w:b w:val="0"/>
                <w:sz w:val="21"/>
              </w:rPr>
              <w:t>（草稿 / 档案 / 误报 / 密钥）</w:t>
            </w:r>
          </w:p>
        </w:tc>
        <w:tc>
          <w:tcPr>
            <w:tcW w:w="2882" w:type="dxa"/>
          </w:tcPr>
          <w:p w14:paraId="71380F43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本机</w:t>
            </w:r>
          </w:p>
        </w:tc>
      </w:tr>
      <w:tr w14:paraId="53DA23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32FA9D59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外部服务</w:t>
            </w:r>
          </w:p>
        </w:tc>
        <w:tc>
          <w:tcPr>
            <w:tcW w:w="2882" w:type="dxa"/>
          </w:tcPr>
          <w:p w14:paraId="7E39336D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 xml:space="preserve">智谱 </w:t>
            </w:r>
            <w:r>
              <w:rPr>
                <w:rFonts w:ascii="等线" w:hAnsi="等线" w:eastAsia="等线"/>
                <w:b w:val="0"/>
                <w:sz w:val="19"/>
              </w:rPr>
              <w:t>open.bigmodel.cn</w:t>
            </w:r>
            <w:r>
              <w:rPr>
                <w:rFonts w:ascii="宋体" w:hAnsi="宋体" w:eastAsia="宋体"/>
                <w:b w:val="0"/>
                <w:sz w:val="21"/>
              </w:rPr>
              <w:t>（仅 OCR 可选，用户主动配置密钥时才访问）</w:t>
            </w:r>
          </w:p>
        </w:tc>
        <w:tc>
          <w:tcPr>
            <w:tcW w:w="2882" w:type="dxa"/>
          </w:tcPr>
          <w:p w14:paraId="5D80CB70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云端（可选）</w:t>
            </w:r>
          </w:p>
        </w:tc>
      </w:tr>
    </w:tbl>
    <w:p w14:paraId="5DA2012A">
      <w:pPr>
        <w:spacing w:after="4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2"/>
        <w:gridCol w:w="2882"/>
      </w:tblGrid>
      <w:tr w14:paraId="0C847A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2FFEBA2F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文件</w:t>
            </w:r>
          </w:p>
        </w:tc>
        <w:tc>
          <w:tcPr>
            <w:tcW w:w="2882" w:type="dxa"/>
          </w:tcPr>
          <w:p w14:paraId="5C33C2AA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职责</w:t>
            </w:r>
          </w:p>
        </w:tc>
        <w:tc>
          <w:tcPr>
            <w:tcW w:w="2882" w:type="dxa"/>
          </w:tcPr>
          <w:p w14:paraId="274AB741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规模</w:t>
            </w:r>
          </w:p>
        </w:tc>
      </w:tr>
      <w:tr w14:paraId="063071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6D1791AF">
            <w:pPr>
              <w:spacing w:before="20" w:after="20" w:line="276" w:lineRule="auto"/>
              <w:ind w:firstLine="0"/>
            </w:pPr>
            <w:r>
              <w:rPr>
                <w:rFonts w:ascii="等线" w:hAnsi="等线" w:eastAsia="等线"/>
                <w:b w:val="0"/>
                <w:sz w:val="19"/>
              </w:rPr>
              <w:t>index.html</w:t>
            </w:r>
          </w:p>
        </w:tc>
        <w:tc>
          <w:tcPr>
            <w:tcW w:w="2882" w:type="dxa"/>
          </w:tcPr>
          <w:p w14:paraId="25A887AA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界面结构：分流卡片、录入表单、核验/判定/审核/档案/整改单/规则库/隐私页</w:t>
            </w:r>
          </w:p>
        </w:tc>
        <w:tc>
          <w:tcPr>
            <w:tcW w:w="2882" w:type="dxa"/>
          </w:tcPr>
          <w:p w14:paraId="132A217A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433 行</w:t>
            </w:r>
          </w:p>
        </w:tc>
      </w:tr>
      <w:tr w14:paraId="660DEB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6A0057C4">
            <w:pPr>
              <w:spacing w:before="20" w:after="20" w:line="276" w:lineRule="auto"/>
              <w:ind w:firstLine="0"/>
            </w:pPr>
            <w:r>
              <w:rPr>
                <w:rFonts w:ascii="等线" w:hAnsi="等线" w:eastAsia="等线"/>
                <w:b w:val="0"/>
                <w:sz w:val="19"/>
              </w:rPr>
              <w:t>styles/main.css</w:t>
            </w:r>
          </w:p>
        </w:tc>
        <w:tc>
          <w:tcPr>
            <w:tcW w:w="2882" w:type="dxa"/>
          </w:tcPr>
          <w:p w14:paraId="27429EAE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视觉样式、四态配色、</w:t>
            </w:r>
            <w:r>
              <w:rPr>
                <w:rFonts w:ascii="等线" w:hAnsi="等线" w:eastAsia="等线"/>
                <w:b w:val="0"/>
                <w:sz w:val="19"/>
              </w:rPr>
              <w:t>@media print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双通道打印</w:t>
            </w:r>
          </w:p>
        </w:tc>
        <w:tc>
          <w:tcPr>
            <w:tcW w:w="2882" w:type="dxa"/>
          </w:tcPr>
          <w:p w14:paraId="60A27493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1198 行</w:t>
            </w:r>
          </w:p>
        </w:tc>
      </w:tr>
      <w:tr w14:paraId="26064A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7D3A5C7C">
            <w:pPr>
              <w:spacing w:before="20" w:after="20" w:line="276" w:lineRule="auto"/>
              <w:ind w:firstLine="0"/>
            </w:pPr>
            <w:r>
              <w:rPr>
                <w:rFonts w:ascii="等线" w:hAnsi="等线" w:eastAsia="等线"/>
                <w:b w:val="0"/>
                <w:sz w:val="19"/>
              </w:rPr>
              <w:t>js/rules-data.js</w:t>
            </w:r>
          </w:p>
        </w:tc>
        <w:tc>
          <w:tcPr>
            <w:tcW w:w="2882" w:type="dxa"/>
          </w:tcPr>
          <w:p w14:paraId="30B5650D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 xml:space="preserve">规则库运行时数据（21 条），供 </w:t>
            </w:r>
            <w:r>
              <w:rPr>
                <w:rFonts w:ascii="等线" w:hAnsi="等线" w:eastAsia="等线"/>
                <w:b w:val="0"/>
                <w:sz w:val="19"/>
              </w:rPr>
              <w:t>file://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双击运行</w:t>
            </w:r>
          </w:p>
        </w:tc>
        <w:tc>
          <w:tcPr>
            <w:tcW w:w="2882" w:type="dxa"/>
          </w:tcPr>
          <w:p w14:paraId="7DFC08C7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74 行</w:t>
            </w:r>
          </w:p>
        </w:tc>
      </w:tr>
      <w:tr w14:paraId="4ACA1A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64346A5E">
            <w:pPr>
              <w:spacing w:before="20" w:after="20" w:line="276" w:lineRule="auto"/>
              <w:ind w:firstLine="0"/>
            </w:pPr>
            <w:r>
              <w:rPr>
                <w:rFonts w:ascii="等线" w:hAnsi="等线" w:eastAsia="等线"/>
                <w:b w:val="0"/>
                <w:sz w:val="19"/>
              </w:rPr>
              <w:t>data/rules.json</w:t>
            </w:r>
          </w:p>
        </w:tc>
        <w:tc>
          <w:tcPr>
            <w:tcW w:w="2882" w:type="dxa"/>
          </w:tcPr>
          <w:p w14:paraId="346EF647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规则库权威源（先改 JSON，再同步 JS）</w:t>
            </w:r>
          </w:p>
        </w:tc>
        <w:tc>
          <w:tcPr>
            <w:tcW w:w="2882" w:type="dxa"/>
          </w:tcPr>
          <w:p w14:paraId="21AB05C4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21 条</w:t>
            </w:r>
          </w:p>
        </w:tc>
      </w:tr>
      <w:tr w14:paraId="46DB8D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42150AA2">
            <w:pPr>
              <w:spacing w:before="20" w:after="20" w:line="276" w:lineRule="auto"/>
              <w:ind w:firstLine="0"/>
            </w:pPr>
            <w:r>
              <w:rPr>
                <w:rFonts w:ascii="等线" w:hAnsi="等线" w:eastAsia="等线"/>
                <w:b w:val="0"/>
                <w:sz w:val="19"/>
              </w:rPr>
              <w:t>js/validate.js</w:t>
            </w:r>
          </w:p>
        </w:tc>
        <w:tc>
          <w:tcPr>
            <w:tcW w:w="2882" w:type="dxa"/>
          </w:tcPr>
          <w:p w14:paraId="26BEB728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GB 32100 校验位实算、SC 结构校验、日期/临期判断</w:t>
            </w:r>
          </w:p>
        </w:tc>
        <w:tc>
          <w:tcPr>
            <w:tcW w:w="2882" w:type="dxa"/>
          </w:tcPr>
          <w:p w14:paraId="1016E84A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104 行</w:t>
            </w:r>
          </w:p>
        </w:tc>
      </w:tr>
      <w:tr w14:paraId="3241C4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6A698EA6">
            <w:pPr>
              <w:spacing w:before="20" w:after="20" w:line="276" w:lineRule="auto"/>
              <w:ind w:firstLine="0"/>
            </w:pPr>
            <w:r>
              <w:rPr>
                <w:rFonts w:ascii="等线" w:hAnsi="等线" w:eastAsia="等线"/>
                <w:b w:val="0"/>
                <w:sz w:val="19"/>
              </w:rPr>
              <w:t>js/engine.js</w:t>
            </w:r>
          </w:p>
        </w:tc>
        <w:tc>
          <w:tcPr>
            <w:tcW w:w="2882" w:type="dxa"/>
          </w:tcPr>
          <w:p w14:paraId="023DE57F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词表命中 + 字段一致性 + 报告实体比对，聚合四态</w:t>
            </w:r>
          </w:p>
        </w:tc>
        <w:tc>
          <w:tcPr>
            <w:tcW w:w="2882" w:type="dxa"/>
          </w:tcPr>
          <w:p w14:paraId="0D8FB87F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208 行</w:t>
            </w:r>
          </w:p>
        </w:tc>
      </w:tr>
      <w:tr w14:paraId="48CE8B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06EEC936">
            <w:pPr>
              <w:spacing w:before="20" w:after="20" w:line="276" w:lineRule="auto"/>
              <w:ind w:firstLine="0"/>
            </w:pPr>
            <w:r>
              <w:rPr>
                <w:rFonts w:ascii="等线" w:hAnsi="等线" w:eastAsia="等线"/>
                <w:b w:val="0"/>
                <w:sz w:val="19"/>
              </w:rPr>
              <w:t>js/app.js</w:t>
            </w:r>
          </w:p>
        </w:tc>
        <w:tc>
          <w:tcPr>
            <w:tcW w:w="2882" w:type="dxa"/>
          </w:tcPr>
          <w:p w14:paraId="2930C0AE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状态机、动态表单、核验、判定渲染、审核、档案、整改单、OCR、演示模式</w:t>
            </w:r>
          </w:p>
        </w:tc>
        <w:tc>
          <w:tcPr>
            <w:tcW w:w="2882" w:type="dxa"/>
          </w:tcPr>
          <w:p w14:paraId="1982F01D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1282 行</w:t>
            </w:r>
          </w:p>
        </w:tc>
      </w:tr>
    </w:tbl>
    <w:p w14:paraId="218CCAC5">
      <w:pPr>
        <w:spacing w:after="40"/>
      </w:pPr>
    </w:p>
    <w:p w14:paraId="2C50E2D9">
      <w:pPr>
        <w:spacing w:before="0" w:after="60" w:line="360" w:lineRule="auto"/>
        <w:ind w:firstLine="480"/>
      </w:pPr>
      <w:r>
        <w:rPr>
          <w:rFonts w:ascii="宋体" w:hAnsi="宋体" w:eastAsia="宋体"/>
          <w:b/>
          <w:sz w:val="24"/>
        </w:rPr>
        <w:t>为什么不用后端</w:t>
      </w:r>
      <w:r>
        <w:rPr>
          <w:rFonts w:ascii="宋体" w:hAnsi="宋体" w:eastAsia="宋体"/>
          <w:b w:val="0"/>
          <w:sz w:val="24"/>
        </w:rPr>
        <w:t>：助农直播基地普遍网络不稳定、IT 基础薄弱，且选品资料含企业证照与信用代码，属于敏感经营信息。纯前端方案让工具可以离线运行、零部署成本、资料不出本机，这与"选品员在工位上随手就查"的使用场景一致。</w:t>
      </w:r>
    </w:p>
    <w:p w14:paraId="2C8E1744">
      <w:pPr>
        <w:spacing w:before="0" w:after="60" w:line="360" w:lineRule="auto"/>
        <w:ind w:firstLine="480"/>
      </w:pPr>
      <w:r>
        <w:rPr>
          <w:rFonts w:ascii="宋体" w:hAnsi="宋体" w:eastAsia="宋体"/>
          <w:b/>
          <w:sz w:val="24"/>
        </w:rPr>
        <w:t>规则库为什么有两份</w:t>
      </w:r>
      <w:r>
        <w:rPr>
          <w:rFonts w:ascii="宋体" w:hAnsi="宋体" w:eastAsia="宋体"/>
          <w:b w:val="0"/>
          <w:sz w:val="24"/>
        </w:rPr>
        <w:t xml:space="preserve">：浏览器在 </w:t>
      </w:r>
      <w:r>
        <w:rPr>
          <w:rFonts w:ascii="等线" w:hAnsi="等线" w:eastAsia="等线"/>
          <w:b w:val="0"/>
          <w:sz w:val="22"/>
        </w:rPr>
        <w:t>file://</w:t>
      </w:r>
      <w:r>
        <w:rPr>
          <w:rFonts w:ascii="宋体" w:hAnsi="宋体" w:eastAsia="宋体"/>
          <w:b w:val="0"/>
          <w:sz w:val="24"/>
        </w:rPr>
        <w:t xml:space="preserve"> 协议下会拦截 </w:t>
      </w:r>
      <w:r>
        <w:rPr>
          <w:rFonts w:ascii="等线" w:hAnsi="等线" w:eastAsia="等线"/>
          <w:b w:val="0"/>
          <w:sz w:val="22"/>
        </w:rPr>
        <w:t>fetch()</w:t>
      </w:r>
      <w:r>
        <w:rPr>
          <w:rFonts w:ascii="宋体" w:hAnsi="宋体" w:eastAsia="宋体"/>
          <w:b w:val="0"/>
          <w:sz w:val="24"/>
        </w:rPr>
        <w:t xml:space="preserve"> 读取本地 JSON（同源策略），因此把同一份规则以 </w:t>
      </w:r>
      <w:r>
        <w:rPr>
          <w:rFonts w:ascii="等线" w:hAnsi="等线" w:eastAsia="等线"/>
          <w:b w:val="0"/>
          <w:sz w:val="22"/>
        </w:rPr>
        <w:t>window.RULE_BASE</w:t>
      </w:r>
      <w:r>
        <w:rPr>
          <w:rFonts w:ascii="宋体" w:hAnsi="宋体" w:eastAsia="宋体"/>
          <w:b w:val="0"/>
          <w:sz w:val="24"/>
        </w:rPr>
        <w:t xml:space="preserve"> 形式内联到 </w:t>
      </w:r>
      <w:r>
        <w:rPr>
          <w:rFonts w:ascii="等线" w:hAnsi="等线" w:eastAsia="等线"/>
          <w:b w:val="0"/>
          <w:sz w:val="22"/>
        </w:rPr>
        <w:t>js/rules-data.js</w:t>
      </w:r>
      <w:r>
        <w:rPr>
          <w:rFonts w:ascii="宋体" w:hAnsi="宋体" w:eastAsia="宋体"/>
          <w:b w:val="0"/>
          <w:sz w:val="24"/>
        </w:rPr>
        <w:t>，保证双击即用；</w:t>
      </w:r>
      <w:r>
        <w:rPr>
          <w:rFonts w:ascii="等线" w:hAnsi="等线" w:eastAsia="等线"/>
          <w:b w:val="0"/>
          <w:sz w:val="22"/>
        </w:rPr>
        <w:t>data/rules.json</w:t>
      </w:r>
      <w:r>
        <w:rPr>
          <w:rFonts w:ascii="宋体" w:hAnsi="宋体" w:eastAsia="宋体"/>
          <w:b w:val="0"/>
          <w:sz w:val="24"/>
        </w:rPr>
        <w:t xml:space="preserve"> 作为人工编审的权威源，修改后同步到 JS。</w:t>
      </w:r>
    </w:p>
    <w:p w14:paraId="730BE6A0">
      <w:pPr>
        <w:spacing w:before="240" w:after="120" w:line="360" w:lineRule="auto"/>
        <w:ind w:firstLine="0"/>
      </w:pPr>
      <w:r>
        <w:rPr>
          <w:rFonts w:ascii="黑体" w:hAnsi="黑体" w:eastAsia="黑体"/>
          <w:b/>
          <w:sz w:val="28"/>
        </w:rPr>
        <w:t>2.2 六步数据流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1"/>
        <w:gridCol w:w="2161"/>
        <w:gridCol w:w="2161"/>
        <w:gridCol w:w="2161"/>
      </w:tblGrid>
      <w:tr w14:paraId="39FD0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2BC52273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步骤</w:t>
            </w:r>
          </w:p>
        </w:tc>
        <w:tc>
          <w:tcPr>
            <w:tcW w:w="2161" w:type="dxa"/>
          </w:tcPr>
          <w:p w14:paraId="11CE72F8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输入</w:t>
            </w:r>
          </w:p>
        </w:tc>
        <w:tc>
          <w:tcPr>
            <w:tcW w:w="2161" w:type="dxa"/>
          </w:tcPr>
          <w:p w14:paraId="79B60E30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处理</w:t>
            </w:r>
          </w:p>
        </w:tc>
        <w:tc>
          <w:tcPr>
            <w:tcW w:w="2161" w:type="dxa"/>
          </w:tcPr>
          <w:p w14:paraId="6F0883D3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输出</w:t>
            </w:r>
          </w:p>
        </w:tc>
      </w:tr>
      <w:tr w14:paraId="433241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0C8CB2E8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1 分流</w:t>
            </w:r>
          </w:p>
        </w:tc>
        <w:tc>
          <w:tcPr>
            <w:tcW w:w="2161" w:type="dxa"/>
          </w:tcPr>
          <w:p w14:paraId="060A6104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产品类型 / 销售主体 / 带货平台</w:t>
            </w:r>
          </w:p>
        </w:tc>
        <w:tc>
          <w:tcPr>
            <w:tcW w:w="2161" w:type="dxa"/>
          </w:tcPr>
          <w:p w14:paraId="577B8981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映射到规则线（食用农产品 / 预包装 / 保健食品 / 地理标志）</w:t>
            </w:r>
          </w:p>
        </w:tc>
        <w:tc>
          <w:tcPr>
            <w:tcW w:w="2161" w:type="dxa"/>
          </w:tcPr>
          <w:p w14:paraId="1D8498EF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适用规则线摘要，未选类型则禁止进入下一步</w:t>
            </w:r>
          </w:p>
        </w:tc>
      </w:tr>
      <w:tr w14:paraId="2CFAA4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28A2A09F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2 资料录入</w:t>
            </w:r>
          </w:p>
        </w:tc>
        <w:tc>
          <w:tcPr>
            <w:tcW w:w="2161" w:type="dxa"/>
          </w:tcPr>
          <w:p w14:paraId="4B5D8D12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产品信息、宣称文案、资质字段</w:t>
            </w:r>
          </w:p>
        </w:tc>
        <w:tc>
          <w:tcPr>
            <w:tcW w:w="2161" w:type="dxa"/>
          </w:tcPr>
          <w:p w14:paraId="39EF9609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按类型动态渲染资质字段；草稿实时存 localStorage</w:t>
            </w:r>
          </w:p>
        </w:tc>
        <w:tc>
          <w:tcPr>
            <w:tcW w:w="2161" w:type="dxa"/>
          </w:tcPr>
          <w:p w14:paraId="21E1D8D7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结构化表单数据</w:t>
            </w:r>
          </w:p>
        </w:tc>
      </w:tr>
      <w:tr w14:paraId="326772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3010AE76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3 证据核验</w:t>
            </w:r>
          </w:p>
        </w:tc>
        <w:tc>
          <w:tcPr>
            <w:tcW w:w="2161" w:type="dxa"/>
          </w:tcPr>
          <w:p w14:paraId="3592A4D6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表单字段</w:t>
            </w:r>
          </w:p>
        </w:tc>
        <w:tc>
          <w:tcPr>
            <w:tcW w:w="2161" w:type="dxa"/>
          </w:tcPr>
          <w:p w14:paraId="1A8DA535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 xml:space="preserve">调用 </w:t>
            </w:r>
            <w:r>
              <w:rPr>
                <w:rFonts w:ascii="等线" w:hAnsi="等线" w:eastAsia="等线"/>
                <w:b w:val="0"/>
                <w:sz w:val="19"/>
              </w:rPr>
              <w:t>validate.js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做可算的字段校验</w:t>
            </w:r>
          </w:p>
        </w:tc>
        <w:tc>
          <w:tcPr>
            <w:tcW w:w="2161" w:type="dxa"/>
          </w:tcPr>
          <w:p w14:paraId="615F3BB8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通过 / 需修正 / 人工核对（三类）</w:t>
            </w:r>
          </w:p>
        </w:tc>
      </w:tr>
      <w:tr w14:paraId="594E3D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66C88931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4 规则判定</w:t>
            </w:r>
          </w:p>
        </w:tc>
        <w:tc>
          <w:tcPr>
            <w:tcW w:w="2161" w:type="dxa"/>
          </w:tcPr>
          <w:p w14:paraId="5D5B56C4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表单数据</w:t>
            </w:r>
          </w:p>
        </w:tc>
        <w:tc>
          <w:tcPr>
            <w:tcW w:w="2161" w:type="dxa"/>
          </w:tcPr>
          <w:p w14:paraId="72048B81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 xml:space="preserve">调用 </w:t>
            </w:r>
            <w:r>
              <w:rPr>
                <w:rFonts w:ascii="等线" w:hAnsi="等线" w:eastAsia="等线"/>
                <w:b w:val="0"/>
                <w:sz w:val="19"/>
              </w:rPr>
              <w:t>engine.js</w:t>
            </w:r>
            <w:r>
              <w:rPr>
                <w:rFonts w:ascii="宋体" w:hAnsi="宋体" w:eastAsia="宋体"/>
                <w:b w:val="0"/>
                <w:sz w:val="21"/>
              </w:rPr>
              <w:t>，词表命中 + 一致性交叉 + 报告比对</w:t>
            </w:r>
          </w:p>
        </w:tc>
        <w:tc>
          <w:tcPr>
            <w:tcW w:w="2161" w:type="dxa"/>
          </w:tcPr>
          <w:p w14:paraId="1B6EDEDB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四态等级 + 命中明细 + 灰级待补充清单</w:t>
            </w:r>
          </w:p>
        </w:tc>
      </w:tr>
      <w:tr w14:paraId="5AC6E7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175C60A3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5 人工审核</w:t>
            </w:r>
          </w:p>
        </w:tc>
        <w:tc>
          <w:tcPr>
            <w:tcW w:w="2161" w:type="dxa"/>
          </w:tcPr>
          <w:p w14:paraId="75C79B5B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判定条目</w:t>
            </w:r>
          </w:p>
        </w:tc>
        <w:tc>
          <w:tcPr>
            <w:tcW w:w="2161" w:type="dxa"/>
          </w:tcPr>
          <w:p w14:paraId="4BF200F1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逐条裁决（确认违规 / 标记误报 / 忽略）+ 结论 + 签字 + 日期</w:t>
            </w:r>
          </w:p>
        </w:tc>
        <w:tc>
          <w:tcPr>
            <w:tcW w:w="2161" w:type="dxa"/>
          </w:tcPr>
          <w:p w14:paraId="12103FFD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写入本地档案；误报沉淀到误报库</w:t>
            </w:r>
          </w:p>
        </w:tc>
      </w:tr>
      <w:tr w14:paraId="4A3C73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26FFB456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6 档案导出</w:t>
            </w:r>
          </w:p>
        </w:tc>
        <w:tc>
          <w:tcPr>
            <w:tcW w:w="2161" w:type="dxa"/>
          </w:tcPr>
          <w:p w14:paraId="772A4C40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已签字档案</w:t>
            </w:r>
          </w:p>
        </w:tc>
        <w:tc>
          <w:tcPr>
            <w:tcW w:w="2161" w:type="dxa"/>
          </w:tcPr>
          <w:p w14:paraId="5E7B87C0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渲染五小节档案；黄态另可出整改单</w:t>
            </w:r>
          </w:p>
        </w:tc>
        <w:tc>
          <w:tcPr>
            <w:tcW w:w="2161" w:type="dxa"/>
          </w:tcPr>
          <w:p w14:paraId="59526E74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可打印/PDF 档案、整改单</w:t>
            </w:r>
          </w:p>
        </w:tc>
      </w:tr>
    </w:tbl>
    <w:p w14:paraId="31F8F553">
      <w:pPr>
        <w:spacing w:after="40"/>
      </w:pPr>
    </w:p>
    <w:p w14:paraId="280360F7">
      <w:pPr>
        <w:spacing w:before="240" w:after="120" w:line="360" w:lineRule="auto"/>
        <w:ind w:firstLine="0"/>
      </w:pPr>
      <w:r>
        <w:rPr>
          <w:rFonts w:ascii="黑体" w:hAnsi="黑体" w:eastAsia="黑体"/>
          <w:b/>
          <w:sz w:val="28"/>
        </w:rPr>
        <w:t>2.3 本地数据与隐私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2"/>
        <w:gridCol w:w="2882"/>
        <w:gridCol w:w="2882"/>
      </w:tblGrid>
      <w:tr w14:paraId="5AFE3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58A88933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localStorage 键</w:t>
            </w:r>
          </w:p>
        </w:tc>
        <w:tc>
          <w:tcPr>
            <w:tcW w:w="2882" w:type="dxa"/>
          </w:tcPr>
          <w:p w14:paraId="7C0AF3F2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  <w:tc>
          <w:tcPr>
            <w:tcW w:w="2882" w:type="dxa"/>
          </w:tcPr>
          <w:p w14:paraId="40D4AEDF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清除方式</w:t>
            </w:r>
          </w:p>
        </w:tc>
      </w:tr>
      <w:tr w14:paraId="2C0AF4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0D39A9B1">
            <w:pPr>
              <w:spacing w:before="20" w:after="20" w:line="276" w:lineRule="auto"/>
              <w:ind w:firstLine="0"/>
            </w:pPr>
            <w:r>
              <w:rPr>
                <w:rFonts w:ascii="等线" w:hAnsi="等线" w:eastAsia="等线"/>
                <w:b w:val="0"/>
                <w:sz w:val="19"/>
              </w:rPr>
              <w:t>shangbobao_xuanpin_draft_v1</w:t>
            </w:r>
          </w:p>
        </w:tc>
        <w:tc>
          <w:tcPr>
            <w:tcW w:w="2882" w:type="dxa"/>
          </w:tcPr>
          <w:p w14:paraId="71736DE7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录入草稿</w:t>
            </w:r>
          </w:p>
        </w:tc>
        <w:tc>
          <w:tcPr>
            <w:tcW w:w="2882" w:type="dxa"/>
          </w:tcPr>
          <w:p w14:paraId="30B2452B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隐私页「清除本地全部数据」</w:t>
            </w:r>
          </w:p>
        </w:tc>
      </w:tr>
      <w:tr w14:paraId="153FCB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465BB783">
            <w:pPr>
              <w:spacing w:before="20" w:after="20" w:line="276" w:lineRule="auto"/>
              <w:ind w:firstLine="0"/>
            </w:pPr>
            <w:r>
              <w:rPr>
                <w:rFonts w:ascii="等线" w:hAnsi="等线" w:eastAsia="等线"/>
                <w:b w:val="0"/>
                <w:sz w:val="19"/>
              </w:rPr>
              <w:t>shangbobao_xuanpin_review_v1</w:t>
            </w:r>
          </w:p>
        </w:tc>
        <w:tc>
          <w:tcPr>
            <w:tcW w:w="2882" w:type="dxa"/>
          </w:tcPr>
          <w:p w14:paraId="4CC874DB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已签字审核档案</w:t>
            </w:r>
          </w:p>
        </w:tc>
        <w:tc>
          <w:tcPr>
            <w:tcW w:w="2882" w:type="dxa"/>
          </w:tcPr>
          <w:p w14:paraId="3A631431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同上</w:t>
            </w:r>
          </w:p>
        </w:tc>
      </w:tr>
      <w:tr w14:paraId="52A56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4F9FB6DB">
            <w:pPr>
              <w:spacing w:before="20" w:after="20" w:line="276" w:lineRule="auto"/>
              <w:ind w:firstLine="0"/>
            </w:pPr>
            <w:r>
              <w:rPr>
                <w:rFonts w:ascii="等线" w:hAnsi="等线" w:eastAsia="等线"/>
                <w:b w:val="0"/>
                <w:sz w:val="19"/>
              </w:rPr>
              <w:t>shangbobao_xuanpin_misreport_v1</w:t>
            </w:r>
          </w:p>
        </w:tc>
        <w:tc>
          <w:tcPr>
            <w:tcW w:w="2882" w:type="dxa"/>
          </w:tcPr>
          <w:p w14:paraId="6705732D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误报沉淀记录</w:t>
            </w:r>
          </w:p>
        </w:tc>
        <w:tc>
          <w:tcPr>
            <w:tcW w:w="2882" w:type="dxa"/>
          </w:tcPr>
          <w:p w14:paraId="0E50E43D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同上</w:t>
            </w:r>
          </w:p>
        </w:tc>
      </w:tr>
      <w:tr w14:paraId="6BD57E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261E2720">
            <w:pPr>
              <w:spacing w:before="20" w:after="20" w:line="276" w:lineRule="auto"/>
              <w:ind w:firstLine="0"/>
            </w:pPr>
            <w:r>
              <w:rPr>
                <w:rFonts w:ascii="等线" w:hAnsi="等线" w:eastAsia="等线"/>
                <w:b w:val="0"/>
                <w:sz w:val="19"/>
              </w:rPr>
              <w:t>shangbobao_zhipu_key_v1</w:t>
            </w:r>
          </w:p>
        </w:tc>
        <w:tc>
          <w:tcPr>
            <w:tcW w:w="2882" w:type="dxa"/>
          </w:tcPr>
          <w:p w14:paraId="6CEE1D49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OCR 密钥（可选）</w:t>
            </w:r>
          </w:p>
        </w:tc>
        <w:tc>
          <w:tcPr>
            <w:tcW w:w="2882" w:type="dxa"/>
          </w:tcPr>
          <w:p w14:paraId="0CE59E29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同上</w:t>
            </w:r>
          </w:p>
        </w:tc>
      </w:tr>
    </w:tbl>
    <w:p w14:paraId="69E3099B">
      <w:pPr>
        <w:spacing w:after="40"/>
      </w:pPr>
    </w:p>
    <w:p w14:paraId="767E322D"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隐私说明页明确三条口径：无后端、不上传；OCR 仅在用户主动配置密钥后直连智谱；未配置密钥时完全离线。</w:t>
      </w:r>
    </w:p>
    <w:p w14:paraId="5794926A">
      <w:pPr>
        <w:spacing w:before="240" w:after="120" w:line="360" w:lineRule="auto"/>
        <w:ind w:firstLine="0"/>
      </w:pPr>
      <w:r>
        <w:rPr>
          <w:rFonts w:ascii="黑体" w:hAnsi="黑体" w:eastAsia="黑体"/>
          <w:b w:val="0"/>
          <w:sz w:val="32"/>
        </w:rPr>
        <w:t>三、核心判定机制</w:t>
      </w:r>
    </w:p>
    <w:p w14:paraId="6273AF34">
      <w:pPr>
        <w:spacing w:before="240" w:after="120" w:line="360" w:lineRule="auto"/>
        <w:ind w:firstLine="0"/>
      </w:pPr>
      <w:r>
        <w:rPr>
          <w:rFonts w:ascii="黑体" w:hAnsi="黑体" w:eastAsia="黑体"/>
          <w:b/>
          <w:sz w:val="28"/>
        </w:rPr>
        <w:t>3.1 四态聚合规则</w:t>
      </w:r>
    </w:p>
    <w:p w14:paraId="02916093"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判定引擎为每条命中规则给出等级，最终结果取</w:t>
      </w:r>
      <w:r>
        <w:rPr>
          <w:rFonts w:ascii="宋体" w:hAnsi="宋体" w:eastAsia="宋体"/>
          <w:b/>
          <w:sz w:val="24"/>
        </w:rPr>
        <w:t>最高严重度</w:t>
      </w:r>
      <w:r>
        <w:rPr>
          <w:rFonts w:ascii="宋体" w:hAnsi="宋体" w:eastAsia="宋体"/>
          <w:b w:val="0"/>
          <w:sz w:val="24"/>
        </w:rPr>
        <w:t>：</w:t>
      </w:r>
    </w:p>
    <w:p w14:paraId="4ADAE510">
      <w:pPr>
        <w:spacing w:before="0" w:after="0" w:line="276" w:lineRule="auto"/>
        <w:ind w:left="360" w:firstLine="0"/>
      </w:pPr>
      <w:r>
        <w:rPr>
          <w:rFonts w:ascii="等线" w:hAnsi="等线" w:eastAsia="等线"/>
          <w:b w:val="0"/>
          <w:sz w:val="19"/>
        </w:rPr>
        <w:t>RED(4) &gt; YELLOW(3) &gt; GRAY(2) &gt; GREEN(1)</w:t>
      </w:r>
    </w:p>
    <w:p w14:paraId="5DE6A919">
      <w:pPr>
        <w:spacing w:after="40"/>
      </w:pPr>
    </w:p>
    <w:p w14:paraId="7F9FFA30">
      <w:pPr>
        <w:spacing w:before="0" w:after="60" w:line="360" w:lineRule="auto"/>
        <w:ind w:firstLine="480"/>
      </w:pPr>
      <w:r>
        <w:rPr>
          <w:rFonts w:ascii="宋体" w:hAnsi="宋体" w:eastAsia="宋体"/>
          <w:b/>
          <w:sz w:val="24"/>
        </w:rPr>
        <w:t>灰态的触发条件</w:t>
      </w:r>
      <w:r>
        <w:rPr>
          <w:rFonts w:ascii="宋体" w:hAnsi="宋体" w:eastAsia="宋体"/>
          <w:b w:val="0"/>
          <w:sz w:val="24"/>
        </w:rPr>
        <w:t>（关键防误杀设计）：</w:t>
      </w:r>
    </w:p>
    <w:p w14:paraId="25974D13">
      <w:pPr>
        <w:spacing w:before="0" w:after="60" w:line="360" w:lineRule="auto"/>
        <w:ind w:firstLine="0"/>
      </w:pPr>
      <w:r>
        <w:rPr>
          <w:rFonts w:ascii="楷体" w:hAnsi="楷体" w:eastAsia="楷体"/>
          <w:b w:val="0"/>
          <w:sz w:val="22"/>
        </w:rPr>
        <w:t>若规则层未命中任何硬性违规（结果为绿），但该产品线的关键字段存在缺失，则</w:t>
      </w:r>
      <w:r>
        <w:rPr>
          <w:rFonts w:ascii="楷体" w:hAnsi="楷体" w:eastAsia="楷体"/>
          <w:b/>
          <w:sz w:val="22"/>
        </w:rPr>
        <w:t>升级为灰·信息不足</w:t>
      </w:r>
      <w:r>
        <w:rPr>
          <w:rFonts w:ascii="楷体" w:hAnsi="楷体" w:eastAsia="楷体"/>
          <w:b w:val="0"/>
          <w:sz w:val="22"/>
        </w:rPr>
        <w:t>，并列出待补充清单；不判违规，也不判可播。</w:t>
      </w:r>
    </w:p>
    <w:p w14:paraId="3DB4C32C"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各产品线必填字段（缺失即灰）如下：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798287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2E6EF46F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产品线</w:t>
            </w:r>
          </w:p>
        </w:tc>
        <w:tc>
          <w:tcPr>
            <w:tcW w:w="4323" w:type="dxa"/>
          </w:tcPr>
          <w:p w14:paraId="218CF451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必填（缺失转灰）</w:t>
            </w:r>
          </w:p>
        </w:tc>
      </w:tr>
      <w:tr w14:paraId="64C704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5D409F73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通用</w:t>
            </w:r>
          </w:p>
        </w:tc>
        <w:tc>
          <w:tcPr>
            <w:tcW w:w="4323" w:type="dxa"/>
          </w:tcPr>
          <w:p w14:paraId="3E7D039A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产品名称、申报品类</w:t>
            </w:r>
          </w:p>
        </w:tc>
      </w:tr>
      <w:tr w14:paraId="3C1775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7BA01E08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预包装食品</w:t>
            </w:r>
          </w:p>
        </w:tc>
        <w:tc>
          <w:tcPr>
            <w:tcW w:w="4323" w:type="dxa"/>
          </w:tcPr>
          <w:p w14:paraId="51233F99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统一社会信用代码、标签完整性、营养成分表、生产日期</w:t>
            </w:r>
          </w:p>
        </w:tc>
      </w:tr>
      <w:tr w14:paraId="1E87EE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1D1DB9F0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保健食品</w:t>
            </w:r>
          </w:p>
        </w:tc>
        <w:tc>
          <w:tcPr>
            <w:tcW w:w="4323" w:type="dxa"/>
          </w:tcPr>
          <w:p w14:paraId="5E5F45AF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蓝帽子标识、法定警示语</w:t>
            </w:r>
          </w:p>
        </w:tc>
      </w:tr>
      <w:tr w14:paraId="184DE9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47806D9C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食用农产品</w:t>
            </w:r>
          </w:p>
        </w:tc>
        <w:tc>
          <w:tcPr>
            <w:tcW w:w="4323" w:type="dxa"/>
          </w:tcPr>
          <w:p w14:paraId="4C73D630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承诺达标合格证</w:t>
            </w:r>
          </w:p>
        </w:tc>
      </w:tr>
      <w:tr w14:paraId="6D4A1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2AB93818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地理标志</w:t>
            </w:r>
          </w:p>
        </w:tc>
        <w:tc>
          <w:tcPr>
            <w:tcW w:w="4323" w:type="dxa"/>
          </w:tcPr>
          <w:p w14:paraId="0E941B37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专用标志授权证明、产区一致性</w:t>
            </w:r>
          </w:p>
        </w:tc>
      </w:tr>
    </w:tbl>
    <w:p w14:paraId="76D5195B">
      <w:pPr>
        <w:spacing w:after="40"/>
      </w:pPr>
    </w:p>
    <w:p w14:paraId="2BA750ED">
      <w:pPr>
        <w:spacing w:before="0" w:after="60" w:line="360" w:lineRule="auto"/>
        <w:ind w:firstLine="0"/>
      </w:pPr>
      <w:r>
        <w:rPr>
          <w:rFonts w:ascii="楷体" w:hAnsi="楷体" w:eastAsia="楷体"/>
          <w:b w:val="0"/>
          <w:sz w:val="22"/>
        </w:rPr>
        <w:t>注：SC 号、保健食品注册号为空已分别由 R-YB-001、R-BJ-002 判红，不重复计入灰级清单，避免"同一问题既红又灰"。</w:t>
      </w:r>
    </w:p>
    <w:p w14:paraId="2045042C">
      <w:pPr>
        <w:spacing w:before="240" w:after="120" w:line="360" w:lineRule="auto"/>
        <w:ind w:firstLine="0"/>
      </w:pPr>
      <w:r>
        <w:rPr>
          <w:rFonts w:ascii="黑体" w:hAnsi="黑体" w:eastAsia="黑体"/>
          <w:b/>
          <w:sz w:val="28"/>
        </w:rPr>
        <w:t>3.2 双轨设计：硬规则与语义提示分离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2"/>
        <w:gridCol w:w="2882"/>
      </w:tblGrid>
      <w:tr w14:paraId="0D29FE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095DECC7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轨道</w:t>
            </w:r>
          </w:p>
        </w:tc>
        <w:tc>
          <w:tcPr>
            <w:tcW w:w="2882" w:type="dxa"/>
          </w:tcPr>
          <w:p w14:paraId="18B3461C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特征</w:t>
            </w:r>
          </w:p>
        </w:tc>
        <w:tc>
          <w:tcPr>
            <w:tcW w:w="2882" w:type="dxa"/>
          </w:tcPr>
          <w:p w14:paraId="73BECD8E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当前状态</w:t>
            </w:r>
          </w:p>
        </w:tc>
      </w:tr>
      <w:tr w14:paraId="693EE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39AEFC74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RULE（硬规则）</w:t>
            </w:r>
          </w:p>
        </w:tc>
        <w:tc>
          <w:tcPr>
            <w:tcW w:w="2882" w:type="dxa"/>
          </w:tcPr>
          <w:p w14:paraId="26155C28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 xml:space="preserve">词表命中 / 字段一致性 / 实体比对，结果 </w:t>
            </w:r>
            <w:r>
              <w:rPr>
                <w:rFonts w:ascii="宋体" w:hAnsi="宋体" w:eastAsia="宋体"/>
                <w:b/>
                <w:sz w:val="21"/>
              </w:rPr>
              <w:t>100% 可复核</w:t>
            </w:r>
          </w:p>
        </w:tc>
        <w:tc>
          <w:tcPr>
            <w:tcW w:w="2882" w:type="dxa"/>
          </w:tcPr>
          <w:p w14:paraId="6BCA0D1B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已落地 15 条</w:t>
            </w:r>
          </w:p>
        </w:tc>
      </w:tr>
      <w:tr w14:paraId="572F9F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2B31398E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AI-SEMANTIC（语义）</w:t>
            </w:r>
          </w:p>
        </w:tc>
        <w:tc>
          <w:tcPr>
            <w:tcW w:w="2882" w:type="dxa"/>
          </w:tcPr>
          <w:p w14:paraId="78EDA60E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由大模型做语义判断，</w:t>
            </w:r>
            <w:r>
              <w:rPr>
                <w:rFonts w:ascii="宋体" w:hAnsi="宋体" w:eastAsia="宋体"/>
                <w:b/>
                <w:sz w:val="21"/>
              </w:rPr>
              <w:t>只提示、不判定</w:t>
            </w:r>
            <w:r>
              <w:rPr>
                <w:rFonts w:ascii="宋体" w:hAnsi="宋体" w:eastAsia="宋体"/>
                <w:b w:val="0"/>
                <w:sz w:val="21"/>
              </w:rPr>
              <w:t>，须人工终审</w:t>
            </w:r>
          </w:p>
        </w:tc>
        <w:tc>
          <w:tcPr>
            <w:tcW w:w="2882" w:type="dxa"/>
          </w:tcPr>
          <w:p w14:paraId="61F4CA12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预留接口，当前不产出判定</w:t>
            </w:r>
          </w:p>
        </w:tc>
      </w:tr>
    </w:tbl>
    <w:p w14:paraId="76E5FDDC">
      <w:pPr>
        <w:spacing w:after="40"/>
      </w:pPr>
    </w:p>
    <w:p w14:paraId="2B1F6201"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这条分界是产品的可信度基础：</w:t>
      </w:r>
      <w:r>
        <w:rPr>
          <w:rFonts w:ascii="宋体" w:hAnsi="宋体" w:eastAsia="宋体"/>
          <w:b/>
          <w:sz w:val="24"/>
        </w:rPr>
        <w:t>能用规则算清的一律用规则算</w:t>
      </w:r>
      <w:r>
        <w:rPr>
          <w:rFonts w:ascii="宋体" w:hAnsi="宋体" w:eastAsia="宋体"/>
          <w:b w:val="0"/>
          <w:sz w:val="24"/>
        </w:rPr>
        <w:t>，不把不可复核的判断包装成"判定结论"。</w:t>
      </w:r>
    </w:p>
    <w:p w14:paraId="7CF2D658">
      <w:pPr>
        <w:spacing w:before="240" w:after="120" w:line="360" w:lineRule="auto"/>
        <w:ind w:firstLine="0"/>
      </w:pPr>
      <w:r>
        <w:rPr>
          <w:rFonts w:ascii="黑体" w:hAnsi="黑体" w:eastAsia="黑体"/>
          <w:b/>
          <w:sz w:val="28"/>
        </w:rPr>
        <w:t>3.3 三条判定通路</w:t>
      </w:r>
    </w:p>
    <w:p w14:paraId="690508F9">
      <w:pPr>
        <w:spacing w:after="40" w:line="360" w:lineRule="auto"/>
        <w:ind w:left="480" w:firstLine="0"/>
      </w:pPr>
      <w:r>
        <w:rPr>
          <w:rFonts w:ascii="宋体" w:hAnsi="宋体" w:eastAsia="宋体"/>
          <w:b w:val="0"/>
          <w:sz w:val="24"/>
        </w:rPr>
        <w:t xml:space="preserve">1. </w:t>
      </w:r>
      <w:r>
        <w:rPr>
          <w:rFonts w:ascii="宋体" w:hAnsi="宋体" w:eastAsia="宋体"/>
          <w:b/>
          <w:sz w:val="24"/>
        </w:rPr>
        <w:t>词表命中</w:t>
      </w:r>
      <w:r>
        <w:rPr>
          <w:rFonts w:ascii="宋体" w:hAnsi="宋体" w:eastAsia="宋体"/>
          <w:b w:val="0"/>
          <w:sz w:val="24"/>
        </w:rPr>
        <w:t>（宣称文案，</w:t>
      </w:r>
      <w:r>
        <w:rPr>
          <w:rFonts w:ascii="宋体" w:hAnsi="宋体" w:eastAsia="宋体"/>
          <w:b/>
          <w:sz w:val="24"/>
        </w:rPr>
        <w:t>包装与口播分开采集</w:t>
      </w:r>
      <w:r>
        <w:rPr>
          <w:rFonts w:ascii="宋体" w:hAnsi="宋体" w:eastAsia="宋体"/>
          <w:b w:val="0"/>
          <w:sz w:val="24"/>
        </w:rPr>
        <w:t>）</w:t>
      </w:r>
    </w:p>
    <w:p w14:paraId="24D68842"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疾病/医疗用语词表、保健功能词表、绝对化用语词表、承诺性效果词表、虚构权威背书词表，命中即出对应规则，并在判定明细中标明来源（包装 / 口播）。</w:t>
      </w:r>
    </w:p>
    <w:p w14:paraId="7FBA09D9">
      <w:pPr>
        <w:spacing w:after="40" w:line="360" w:lineRule="auto"/>
        <w:ind w:left="480" w:firstLine="0"/>
      </w:pPr>
      <w:r>
        <w:rPr>
          <w:rFonts w:ascii="宋体" w:hAnsi="宋体" w:eastAsia="宋体"/>
          <w:b w:val="0"/>
          <w:sz w:val="24"/>
        </w:rPr>
        <w:t xml:space="preserve">2. </w:t>
      </w:r>
      <w:r>
        <w:rPr>
          <w:rFonts w:ascii="宋体" w:hAnsi="宋体" w:eastAsia="宋体"/>
          <w:b/>
          <w:sz w:val="24"/>
        </w:rPr>
        <w:t>字段一致性交叉</w:t>
      </w:r>
      <w:r>
        <w:rPr>
          <w:rFonts w:ascii="宋体" w:hAnsi="宋体" w:eastAsia="宋体"/>
          <w:b w:val="0"/>
          <w:sz w:val="24"/>
        </w:rPr>
        <w:t>（各产品线）</w:t>
      </w:r>
    </w:p>
    <w:p w14:paraId="50E63FD0"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例：预包装无 SC → 生产/自销主体判红、</w:t>
      </w:r>
      <w:r>
        <w:rPr>
          <w:rFonts w:ascii="宋体" w:hAnsi="宋体" w:eastAsia="宋体"/>
          <w:b/>
          <w:sz w:val="24"/>
        </w:rPr>
        <w:t>经销主体降黄</w:t>
      </w:r>
      <w:r>
        <w:rPr>
          <w:rFonts w:ascii="宋体" w:hAnsi="宋体" w:eastAsia="宋体"/>
          <w:b w:val="0"/>
          <w:sz w:val="24"/>
        </w:rPr>
        <w:t>（《食品安全法》第三十五条：仅销售预包装食品不需许可，只需备案）；SC 非 14 位数字 → 黄；标签缺项 → 黄；营养表缺失 → 黄；过期 → 红（由黄升红）；临期/未来日期 → 黄；保健食品无蓝帽/无注册号 → 红；食用农产品无承诺达标合格证 → 黄、</w:t>
      </w:r>
      <w:r>
        <w:rPr>
          <w:rFonts w:ascii="宋体" w:hAnsi="宋体" w:eastAsia="宋体"/>
          <w:b/>
          <w:sz w:val="24"/>
        </w:rPr>
        <w:t>畜禽类未提供检疫合格证明 → 红</w:t>
      </w:r>
      <w:r>
        <w:rPr>
          <w:rFonts w:ascii="宋体" w:hAnsi="宋体" w:eastAsia="宋体"/>
          <w:b w:val="0"/>
          <w:sz w:val="24"/>
        </w:rPr>
        <w:t>（《食品安全法》第三十四条第（八）项：未按规定检疫的肉类属禁止生产经营食品）；地标无授权 → 红、产区不一致 → 黄。</w:t>
      </w:r>
    </w:p>
    <w:p w14:paraId="501937FC">
      <w:pPr>
        <w:spacing w:after="40" w:line="360" w:lineRule="auto"/>
        <w:ind w:left="480" w:firstLine="0"/>
      </w:pPr>
      <w:r>
        <w:rPr>
          <w:rFonts w:ascii="宋体" w:hAnsi="宋体" w:eastAsia="宋体"/>
          <w:b w:val="0"/>
          <w:sz w:val="24"/>
        </w:rPr>
        <w:t xml:space="preserve">3. </w:t>
      </w:r>
      <w:r>
        <w:rPr>
          <w:rFonts w:ascii="宋体" w:hAnsi="宋体" w:eastAsia="宋体"/>
          <w:b/>
          <w:sz w:val="24"/>
        </w:rPr>
        <w:t>实体比对</w:t>
      </w:r>
      <w:r>
        <w:rPr>
          <w:rFonts w:ascii="宋体" w:hAnsi="宋体" w:eastAsia="宋体"/>
          <w:b w:val="0"/>
          <w:sz w:val="24"/>
        </w:rPr>
        <w:t>（R-COM-006 检测报告）</w:t>
      </w:r>
    </w:p>
    <w:p w14:paraId="5B4A22B3"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将报告上的产品名/规格/批号与申报产品比对：</w:t>
      </w:r>
      <w:r>
        <w:rPr>
          <w:rFonts w:ascii="宋体" w:hAnsi="宋体" w:eastAsia="宋体"/>
          <w:b/>
          <w:sz w:val="24"/>
        </w:rPr>
        <w:t>名或规格不符、检验结论不合格 → 红</w:t>
      </w:r>
      <w:r>
        <w:rPr>
          <w:rFonts w:ascii="宋体" w:hAnsi="宋体" w:eastAsia="宋体"/>
          <w:b w:val="0"/>
          <w:sz w:val="24"/>
        </w:rPr>
        <w:t>；</w:t>
      </w:r>
      <w:r>
        <w:rPr>
          <w:rFonts w:ascii="宋体" w:hAnsi="宋体" w:eastAsia="宋体"/>
          <w:b/>
          <w:sz w:val="24"/>
        </w:rPr>
        <w:t>批号不符、缺 CMA/CNAS 标识、报告过期 → 黄</w:t>
      </w:r>
      <w:r>
        <w:rPr>
          <w:rFonts w:ascii="宋体" w:hAnsi="宋体" w:eastAsia="宋体"/>
          <w:b w:val="0"/>
          <w:sz w:val="24"/>
        </w:rPr>
        <w:t>（多命中项合并为一张卡，取最高等级）。</w:t>
      </w:r>
    </w:p>
    <w:p w14:paraId="3856B983">
      <w:pPr>
        <w:spacing w:before="240" w:after="120" w:line="360" w:lineRule="auto"/>
        <w:ind w:firstLine="0"/>
      </w:pPr>
      <w:r>
        <w:rPr>
          <w:rFonts w:ascii="黑体" w:hAnsi="黑体" w:eastAsia="黑体"/>
          <w:b/>
          <w:sz w:val="28"/>
        </w:rPr>
        <w:t>3.4 防误杀设计（本产品的关键设计取舍）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524644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79862D3E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风险</w:t>
            </w:r>
          </w:p>
        </w:tc>
        <w:tc>
          <w:tcPr>
            <w:tcW w:w="4323" w:type="dxa"/>
          </w:tcPr>
          <w:p w14:paraId="5D48F0C6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设计对策</w:t>
            </w:r>
          </w:p>
        </w:tc>
      </w:tr>
      <w:tr w14:paraId="4AA61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7AA2DB15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把初级农产品当预包装要 SC</w:t>
            </w:r>
          </w:p>
        </w:tc>
        <w:tc>
          <w:tcPr>
            <w:tcW w:w="4323" w:type="dxa"/>
          </w:tcPr>
          <w:p w14:paraId="5518CDF8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分流先行；食用农产品线不采集 SC，核验项显式输出"无需 SC 证，跳过该项"</w:t>
            </w:r>
          </w:p>
        </w:tc>
      </w:tr>
      <w:tr w14:paraId="5B2A4F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762412E8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字段为空被当作违规</w:t>
            </w:r>
          </w:p>
        </w:tc>
        <w:tc>
          <w:tcPr>
            <w:tcW w:w="4323" w:type="dxa"/>
          </w:tcPr>
          <w:p w14:paraId="63468F47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空值不参与判定；缺信息走灰级清单</w:t>
            </w:r>
          </w:p>
        </w:tc>
      </w:tr>
      <w:tr w14:paraId="2536F0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4FC682CF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绿态但资料不全被判可播</w:t>
            </w:r>
          </w:p>
        </w:tc>
        <w:tc>
          <w:tcPr>
            <w:tcW w:w="4323" w:type="dxa"/>
          </w:tcPr>
          <w:p w14:paraId="3009C667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绿 + 关键字段缺失 → 灰·信息不足</w:t>
            </w:r>
          </w:p>
        </w:tc>
      </w:tr>
      <w:tr w14:paraId="057396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076E760D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报告名与产品名有括号/简称差异被误判</w:t>
            </w:r>
          </w:p>
        </w:tc>
        <w:tc>
          <w:tcPr>
            <w:tcW w:w="4323" w:type="dxa"/>
          </w:tcPr>
          <w:p w14:paraId="3744693C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归一化：去空白、去括号补充说明、小写；</w:t>
            </w:r>
            <w:r>
              <w:rPr>
                <w:rFonts w:ascii="宋体" w:hAnsi="宋体" w:eastAsia="宋体"/>
                <w:b/>
                <w:sz w:val="21"/>
              </w:rPr>
              <w:t>归一化后完全相等才视为同一</w:t>
            </w:r>
            <w:r>
              <w:rPr>
                <w:rFonts w:ascii="宋体" w:hAnsi="宋体" w:eastAsia="宋体"/>
                <w:b w:val="0"/>
                <w:sz w:val="21"/>
              </w:rPr>
              <w:t>（2026-10-25 起不再用“互相包含”，防止“苹果汁”包含“苹果”绕过）</w:t>
            </w:r>
          </w:p>
        </w:tc>
      </w:tr>
      <w:tr w14:paraId="6CDA9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16F94385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报告没填就判造假</w:t>
            </w:r>
          </w:p>
        </w:tc>
        <w:tc>
          <w:tcPr>
            <w:tcW w:w="4323" w:type="dxa"/>
          </w:tcPr>
          <w:p w14:paraId="02857A69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报告字段任一为空即跳过比对</w:t>
            </w:r>
          </w:p>
        </w:tc>
      </w:tr>
    </w:tbl>
    <w:p w14:paraId="2E3EB562">
      <w:pPr>
        <w:spacing w:after="40"/>
      </w:pPr>
    </w:p>
    <w:p w14:paraId="351A83C0">
      <w:pPr>
        <w:spacing w:before="240" w:after="120" w:line="360" w:lineRule="auto"/>
        <w:ind w:firstLine="0"/>
      </w:pPr>
      <w:r>
        <w:rPr>
          <w:rFonts w:ascii="黑体" w:hAnsi="黑体" w:eastAsia="黑体"/>
          <w:b/>
          <w:sz w:val="28"/>
        </w:rPr>
        <w:t>3.5 规则库落地覆盖（如实说明）</w:t>
      </w:r>
    </w:p>
    <w:p w14:paraId="770E702C"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 xml:space="preserve">规则库共 </w:t>
      </w:r>
      <w:r>
        <w:rPr>
          <w:rFonts w:ascii="宋体" w:hAnsi="宋体" w:eastAsia="宋体"/>
          <w:b/>
          <w:sz w:val="24"/>
        </w:rPr>
        <w:t>21 条</w:t>
      </w:r>
      <w:r>
        <w:rPr>
          <w:rFonts w:ascii="宋体" w:hAnsi="宋体" w:eastAsia="宋体"/>
          <w:b w:val="0"/>
          <w:sz w:val="24"/>
        </w:rPr>
        <w:t>（v0.2 修订稿）：通用宣称（COM）6 条、预包装（YB）6 条、保健食品（BJ）4 条、食用农产品（NC）3 条、地理标志（DL）2 条；等级分布为红 9 / 黄 11 / 灰 1。</w:t>
      </w:r>
    </w:p>
    <w:p w14:paraId="7FC3D73D">
      <w:pPr>
        <w:spacing w:before="0" w:after="60" w:line="360" w:lineRule="auto"/>
        <w:ind w:firstLine="480"/>
      </w:pPr>
      <w:r>
        <w:rPr>
          <w:rFonts w:ascii="宋体" w:hAnsi="宋体" w:eastAsia="宋体"/>
          <w:b/>
          <w:sz w:val="24"/>
        </w:rPr>
        <w:t>当前引擎已接入 18 条</w:t>
      </w:r>
      <w:r>
        <w:rPr>
          <w:rFonts w:ascii="宋体" w:hAnsi="宋体" w:eastAsia="宋体"/>
          <w:b w:val="0"/>
          <w:sz w:val="24"/>
        </w:rPr>
        <w:t>，另有 3 条仅入库、暂未接入判定，原因如下：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2"/>
        <w:gridCol w:w="2882"/>
      </w:tblGrid>
      <w:tr w14:paraId="63493A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2" w:type="dxa"/>
          </w:tcPr>
          <w:p w14:paraId="7B96970F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规则</w:t>
            </w:r>
          </w:p>
        </w:tc>
        <w:tc>
          <w:tcPr>
            <w:tcW w:w="2882" w:type="dxa"/>
          </w:tcPr>
          <w:p w14:paraId="4E4D88A5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名称</w:t>
            </w:r>
          </w:p>
        </w:tc>
        <w:tc>
          <w:tcPr>
            <w:tcW w:w="2882" w:type="dxa"/>
          </w:tcPr>
          <w:p w14:paraId="30CFE0A1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未接入原因</w:t>
            </w:r>
          </w:p>
        </w:tc>
      </w:tr>
      <w:tr w14:paraId="7DFA6B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65EBE39C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R-YB-003</w:t>
            </w:r>
          </w:p>
        </w:tc>
        <w:tc>
          <w:tcPr>
            <w:tcW w:w="2882" w:type="dxa"/>
          </w:tcPr>
          <w:p w14:paraId="5F21B061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SC 类别码与申报品类不符</w:t>
            </w:r>
          </w:p>
        </w:tc>
        <w:tc>
          <w:tcPr>
            <w:tcW w:w="2882" w:type="dxa"/>
          </w:tcPr>
          <w:p w14:paraId="3ED45229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需录入 32 类食品生产许可分类目录对照表（当前占位）</w:t>
            </w:r>
          </w:p>
        </w:tc>
      </w:tr>
      <w:tr w14:paraId="06D2FD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55568902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R-BJ-003</w:t>
            </w:r>
          </w:p>
        </w:tc>
        <w:tc>
          <w:tcPr>
            <w:tcW w:w="2882" w:type="dxa"/>
          </w:tcPr>
          <w:p w14:paraId="3FF5B3DC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宣传超出注册批准功能</w:t>
            </w:r>
          </w:p>
        </w:tc>
        <w:tc>
          <w:tcPr>
            <w:tcW w:w="2882" w:type="dxa"/>
          </w:tcPr>
          <w:p w14:paraId="124076EA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需录入保健食品 27 项获批功能范围（当前占位）</w:t>
            </w:r>
          </w:p>
        </w:tc>
      </w:tr>
      <w:tr w14:paraId="719DAC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6F9664AC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R-NC-002</w:t>
            </w:r>
          </w:p>
        </w:tc>
        <w:tc>
          <w:tcPr>
            <w:tcW w:w="2882" w:type="dxa"/>
          </w:tcPr>
          <w:p w14:paraId="5D7475C0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食用农产品误标 SC</w:t>
            </w:r>
          </w:p>
        </w:tc>
        <w:tc>
          <w:tcPr>
            <w:tcW w:w="2882" w:type="dxa"/>
          </w:tcPr>
          <w:p w14:paraId="4188325F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属提示性防误杀条目，已由分流与核验文案覆盖</w:t>
            </w:r>
          </w:p>
        </w:tc>
      </w:tr>
    </w:tbl>
    <w:p w14:paraId="69A5FC45">
      <w:pPr>
        <w:spacing w:after="40"/>
      </w:pPr>
    </w:p>
    <w:p w14:paraId="73A33982">
      <w:pPr>
        <w:spacing w:before="0" w:after="60" w:line="360" w:lineRule="auto"/>
        <w:ind w:firstLine="0"/>
      </w:pPr>
      <w:r>
        <w:rPr>
          <w:rFonts w:ascii="楷体" w:hAnsi="楷体" w:eastAsia="楷体"/>
          <w:b w:val="0"/>
          <w:sz w:val="22"/>
        </w:rPr>
        <w:t>规则库查看页对全部 21 条公开展示，</w:t>
      </w:r>
      <w:r>
        <w:rPr>
          <w:rFonts w:ascii="楷体" w:hAnsi="楷体" w:eastAsia="楷体"/>
          <w:b/>
          <w:sz w:val="22"/>
        </w:rPr>
        <w:t>并对未接入的 3 条显式标注"未启用"</w:t>
      </w:r>
      <w:r>
        <w:rPr>
          <w:rFonts w:ascii="楷体" w:hAnsi="楷体" w:eastAsia="楷体"/>
          <w:b w:val="0"/>
          <w:sz w:val="22"/>
        </w:rPr>
        <w:t>，页面顶部注明"已启用 18 条 · 未启用 3 条"，不做"21 条全生效"的暗示。</w:t>
      </w:r>
    </w:p>
    <w:p w14:paraId="5BD93AE6">
      <w:pPr>
        <w:spacing w:before="0" w:after="60" w:line="360" w:lineRule="auto"/>
        <w:ind w:firstLine="0"/>
      </w:pPr>
    </w:p>
    <w:p w14:paraId="7752B576">
      <w:pPr>
        <w:spacing w:before="0" w:after="60" w:line="360" w:lineRule="auto"/>
        <w:ind w:firstLine="0"/>
      </w:pPr>
      <w:r>
        <w:rPr>
          <w:rFonts w:ascii="楷体" w:hAnsi="楷体" w:eastAsia="楷体"/>
          <w:b w:val="0"/>
          <w:sz w:val="22"/>
        </w:rPr>
        <w:t xml:space="preserve">其中 </w:t>
      </w:r>
      <w:r>
        <w:rPr>
          <w:rFonts w:ascii="楷体" w:hAnsi="楷体" w:eastAsia="楷体"/>
          <w:b/>
          <w:sz w:val="22"/>
        </w:rPr>
        <w:t>R-YB-003（SC 类别码 × 申报品类）本期不做自动判定</w:t>
      </w:r>
      <w:r>
        <w:rPr>
          <w:rFonts w:ascii="楷体" w:hAnsi="楷体" w:eastAsia="楷体"/>
          <w:b w:val="0"/>
          <w:sz w:val="22"/>
        </w:rPr>
        <w:t>：32 类分类目录对照表工作量大，统一转人工核验；答辩口径与此一致，不宣称已实现类别码自动识别。</w:t>
      </w:r>
    </w:p>
    <w:p w14:paraId="3BFA9684">
      <w:pPr>
        <w:spacing w:before="240" w:after="120" w:line="360" w:lineRule="auto"/>
        <w:ind w:firstLine="0"/>
      </w:pPr>
      <w:r>
        <w:rPr>
          <w:rFonts w:ascii="黑体" w:hAnsi="黑体" w:eastAsia="黑体"/>
          <w:b w:val="0"/>
          <w:sz w:val="32"/>
        </w:rPr>
        <w:t>四、字段校验算法</w:t>
      </w:r>
    </w:p>
    <w:p w14:paraId="46F428EE">
      <w:pPr>
        <w:spacing w:before="240" w:after="120" w:line="360" w:lineRule="auto"/>
        <w:ind w:firstLine="0"/>
      </w:pPr>
      <w:r>
        <w:rPr>
          <w:rFonts w:ascii="黑体" w:hAnsi="黑体" w:eastAsia="黑体"/>
          <w:b/>
          <w:sz w:val="28"/>
        </w:rPr>
        <w:t>4.1 统一社会信用代码（GB 32100-2015）</w:t>
      </w:r>
    </w:p>
    <w:p w14:paraId="153C3CC8"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 xml:space="preserve">实现为 </w:t>
      </w:r>
      <w:r>
        <w:rPr>
          <w:rFonts w:ascii="等线" w:hAnsi="等线" w:eastAsia="等线"/>
          <w:b w:val="0"/>
          <w:sz w:val="22"/>
        </w:rPr>
        <w:t>js/validate.js</w:t>
      </w:r>
      <w:r>
        <w:rPr>
          <w:rFonts w:ascii="宋体" w:hAnsi="宋体" w:eastAsia="宋体"/>
          <w:b w:val="0"/>
          <w:sz w:val="24"/>
        </w:rPr>
        <w:t xml:space="preserve"> 的 </w:t>
      </w:r>
      <w:r>
        <w:rPr>
          <w:rFonts w:ascii="等线" w:hAnsi="等线" w:eastAsia="等线"/>
          <w:b w:val="0"/>
          <w:sz w:val="22"/>
        </w:rPr>
        <w:t>validateUSCC</w:t>
      </w:r>
      <w:r>
        <w:rPr>
          <w:rFonts w:ascii="宋体" w:hAnsi="宋体" w:eastAsia="宋体"/>
          <w:b w:val="0"/>
          <w:sz w:val="24"/>
        </w:rPr>
        <w:t>，第 18 位校验位</w:t>
      </w:r>
      <w:r>
        <w:rPr>
          <w:rFonts w:ascii="宋体" w:hAnsi="宋体" w:eastAsia="宋体"/>
          <w:b/>
          <w:sz w:val="24"/>
        </w:rPr>
        <w:t>本地实算</w:t>
      </w:r>
      <w:r>
        <w:rPr>
          <w:rFonts w:ascii="宋体" w:hAnsi="宋体" w:eastAsia="宋体"/>
          <w:b w:val="0"/>
          <w:sz w:val="24"/>
        </w:rPr>
        <w:t>：</w:t>
      </w:r>
    </w:p>
    <w:p w14:paraId="2993F85E">
      <w:pPr>
        <w:spacing w:after="40" w:line="360" w:lineRule="auto"/>
        <w:ind w:left="480" w:firstLine="0"/>
      </w:pPr>
      <w:r>
        <w:rPr>
          <w:rFonts w:ascii="宋体" w:hAnsi="宋体" w:eastAsia="宋体"/>
          <w:b w:val="0"/>
          <w:sz w:val="24"/>
        </w:rPr>
        <w:t>· 字符集（31 位，剔除易混字符 I/O/S/V/Z）：</w:t>
      </w:r>
      <w:r>
        <w:rPr>
          <w:rFonts w:ascii="等线" w:hAnsi="等线" w:eastAsia="等线"/>
          <w:b w:val="0"/>
          <w:sz w:val="22"/>
        </w:rPr>
        <w:t>0123456789ABCDEFGHJKLMNPQRTUWXY</w:t>
      </w:r>
    </w:p>
    <w:p w14:paraId="39FC5FA9">
      <w:pPr>
        <w:spacing w:after="40" w:line="360" w:lineRule="auto"/>
        <w:ind w:left="480" w:firstLine="0"/>
      </w:pPr>
      <w:r>
        <w:rPr>
          <w:rFonts w:ascii="宋体" w:hAnsi="宋体" w:eastAsia="宋体"/>
          <w:b w:val="0"/>
          <w:sz w:val="24"/>
        </w:rPr>
        <w:t>· 权重（前 17 位）：</w:t>
      </w:r>
      <w:r>
        <w:rPr>
          <w:rFonts w:ascii="等线" w:hAnsi="等线" w:eastAsia="等线"/>
          <w:b w:val="0"/>
          <w:sz w:val="22"/>
        </w:rPr>
        <w:t>W[i] = 3^i mod 31</w:t>
      </w:r>
      <w:r>
        <w:rPr>
          <w:rFonts w:ascii="宋体" w:hAnsi="宋体" w:eastAsia="宋体"/>
          <w:b w:val="0"/>
          <w:sz w:val="24"/>
        </w:rPr>
        <w:t>，即</w:t>
      </w:r>
    </w:p>
    <w:p w14:paraId="508F784F">
      <w:pPr>
        <w:spacing w:before="0" w:after="60" w:line="360" w:lineRule="auto"/>
        <w:ind w:firstLine="480"/>
      </w:pPr>
      <w:r>
        <w:rPr>
          <w:rFonts w:ascii="等线" w:hAnsi="等线" w:eastAsia="等线"/>
          <w:b w:val="0"/>
          <w:sz w:val="22"/>
        </w:rPr>
        <w:t>[1, 3, 9, 27, 19, 26, 16, 17, 20, 29, 25, 13, 8, 24, 10, 30, 28]</w:t>
      </w:r>
    </w:p>
    <w:p w14:paraId="365E30ED">
      <w:pPr>
        <w:spacing w:after="40" w:line="360" w:lineRule="auto"/>
        <w:ind w:left="480" w:firstLine="0"/>
      </w:pPr>
      <w:r>
        <w:rPr>
          <w:rFonts w:ascii="宋体" w:hAnsi="宋体" w:eastAsia="宋体"/>
          <w:b w:val="0"/>
          <w:sz w:val="24"/>
        </w:rPr>
        <w:t>· 计算：</w:t>
      </w:r>
      <w:r>
        <w:rPr>
          <w:rFonts w:ascii="等线" w:hAnsi="等线" w:eastAsia="等线"/>
          <w:b w:val="0"/>
          <w:sz w:val="22"/>
        </w:rPr>
        <w:t>S = Σ Cᵢ × Wᵢ</w:t>
      </w:r>
      <w:r>
        <w:rPr>
          <w:rFonts w:ascii="宋体" w:hAnsi="宋体" w:eastAsia="宋体"/>
          <w:b w:val="0"/>
          <w:sz w:val="24"/>
        </w:rPr>
        <w:t>，</w:t>
      </w:r>
      <w:r>
        <w:rPr>
          <w:rFonts w:ascii="等线" w:hAnsi="等线" w:eastAsia="等线"/>
          <w:b w:val="0"/>
          <w:sz w:val="22"/>
        </w:rPr>
        <w:t>C = charset[(31 − S mod 31) mod 31]</w:t>
      </w:r>
    </w:p>
    <w:p w14:paraId="635DC0F0">
      <w:pPr>
        <w:spacing w:after="40" w:line="360" w:lineRule="auto"/>
        <w:ind w:left="480" w:firstLine="0"/>
      </w:pPr>
      <w:r>
        <w:rPr>
          <w:rFonts w:ascii="宋体" w:hAnsi="宋体" w:eastAsia="宋体"/>
          <w:b w:val="0"/>
          <w:sz w:val="24"/>
        </w:rPr>
        <w:t>· 判定：第 18 位与 C 相同 → 通过；不同 → 报出"应为 X，当前为 Y"</w:t>
      </w:r>
    </w:p>
    <w:p w14:paraId="6716C3DA">
      <w:pPr>
        <w:spacing w:before="0" w:after="60" w:line="360" w:lineRule="auto"/>
        <w:ind w:firstLine="480"/>
      </w:pPr>
      <w:r>
        <w:rPr>
          <w:rFonts w:ascii="宋体" w:hAnsi="宋体" w:eastAsia="宋体"/>
          <w:b/>
          <w:sz w:val="24"/>
        </w:rPr>
        <w:t>边界</w:t>
      </w:r>
      <w:r>
        <w:rPr>
          <w:rFonts w:ascii="宋体" w:hAnsi="宋体" w:eastAsia="宋体"/>
          <w:b w:val="0"/>
          <w:sz w:val="24"/>
        </w:rPr>
        <w:t>：只校验结构合法性，</w:t>
      </w:r>
      <w:r>
        <w:rPr>
          <w:rFonts w:ascii="宋体" w:hAnsi="宋体" w:eastAsia="宋体"/>
          <w:b/>
          <w:sz w:val="24"/>
        </w:rPr>
        <w:t>不联网验真、不查企业是否存在</w:t>
      </w:r>
      <w:r>
        <w:rPr>
          <w:rFonts w:ascii="宋体" w:hAnsi="宋体" w:eastAsia="宋体"/>
          <w:b w:val="0"/>
          <w:sz w:val="24"/>
        </w:rPr>
        <w:t>。校验位通过只说明"这个号码写法合法"，不等于"该企业真实存在且持有该证"。</w:t>
      </w:r>
    </w:p>
    <w:p w14:paraId="3A1194AE"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示例：</w:t>
      </w:r>
      <w:r>
        <w:rPr>
          <w:rFonts w:ascii="等线" w:hAnsi="等线" w:eastAsia="等线"/>
          <w:b w:val="0"/>
          <w:sz w:val="22"/>
        </w:rPr>
        <w:t>91370100MA3D8C2K54</w:t>
      </w:r>
      <w:r>
        <w:rPr>
          <w:rFonts w:ascii="宋体" w:hAnsi="宋体" w:eastAsia="宋体"/>
          <w:b w:val="0"/>
          <w:sz w:val="24"/>
        </w:rPr>
        <w:t xml:space="preserve"> 的校验位为 </w:t>
      </w:r>
      <w:r>
        <w:rPr>
          <w:rFonts w:ascii="等线" w:hAnsi="等线" w:eastAsia="等线"/>
          <w:b w:val="0"/>
          <w:sz w:val="22"/>
        </w:rPr>
        <w:t>4</w:t>
      </w:r>
      <w:r>
        <w:rPr>
          <w:rFonts w:ascii="宋体" w:hAnsi="宋体" w:eastAsia="宋体"/>
          <w:b w:val="0"/>
          <w:sz w:val="24"/>
        </w:rPr>
        <w:t>，本地可复算通过（该号码为演示虚构值）。</w:t>
      </w:r>
    </w:p>
    <w:p w14:paraId="307C99E7">
      <w:pPr>
        <w:spacing w:before="240" w:after="120" w:line="360" w:lineRule="auto"/>
        <w:ind w:firstLine="0"/>
      </w:pPr>
      <w:r>
        <w:rPr>
          <w:rFonts w:ascii="黑体" w:hAnsi="黑体" w:eastAsia="黑体"/>
          <w:b/>
          <w:sz w:val="28"/>
        </w:rPr>
        <w:t>4.2 SC 食品生产许可证编号</w:t>
      </w:r>
    </w:p>
    <w:p w14:paraId="0A71FE4A">
      <w:pPr>
        <w:spacing w:after="40" w:line="360" w:lineRule="auto"/>
        <w:ind w:left="480" w:firstLine="0"/>
      </w:pPr>
      <w:r>
        <w:rPr>
          <w:rFonts w:ascii="宋体" w:hAnsi="宋体" w:eastAsia="宋体"/>
          <w:b w:val="0"/>
          <w:sz w:val="24"/>
        </w:rPr>
        <w:t>· 结构：</w:t>
      </w:r>
      <w:r>
        <w:rPr>
          <w:rFonts w:ascii="等线" w:hAnsi="等线" w:eastAsia="等线"/>
          <w:b w:val="0"/>
          <w:sz w:val="22"/>
        </w:rPr>
        <w:t>SC</w:t>
      </w:r>
      <w:r>
        <w:rPr>
          <w:rFonts w:ascii="宋体" w:hAnsi="宋体" w:eastAsia="宋体"/>
          <w:b w:val="0"/>
          <w:sz w:val="24"/>
        </w:rPr>
        <w:t xml:space="preserve"> + 14 位数字（共 16 字符）</w:t>
      </w:r>
    </w:p>
    <w:p w14:paraId="1C1D795A">
      <w:pPr>
        <w:spacing w:after="40" w:line="360" w:lineRule="auto"/>
        <w:ind w:left="480" w:firstLine="0"/>
      </w:pPr>
      <w:r>
        <w:rPr>
          <w:rFonts w:ascii="宋体" w:hAnsi="宋体" w:eastAsia="宋体"/>
          <w:b w:val="0"/>
          <w:sz w:val="24"/>
        </w:rPr>
        <w:t>· 判定：数字部分长度或字符不符 → 黄（R-YB-002）</w:t>
      </w:r>
    </w:p>
    <w:p w14:paraId="43E3E103">
      <w:pPr>
        <w:spacing w:after="40" w:line="360" w:lineRule="auto"/>
        <w:ind w:left="480" w:firstLine="0"/>
      </w:pPr>
      <w:r>
        <w:rPr>
          <w:rFonts w:ascii="宋体" w:hAnsi="宋体" w:eastAsia="宋体"/>
          <w:b w:val="0"/>
          <w:sz w:val="24"/>
        </w:rPr>
        <w:t xml:space="preserve">· </w:t>
      </w:r>
      <w:r>
        <w:rPr>
          <w:rFonts w:ascii="宋体" w:hAnsi="宋体" w:eastAsia="宋体"/>
          <w:b/>
          <w:sz w:val="24"/>
        </w:rPr>
        <w:t>边界</w:t>
      </w:r>
      <w:r>
        <w:rPr>
          <w:rFonts w:ascii="宋体" w:hAnsi="宋体" w:eastAsia="宋体"/>
          <w:b w:val="0"/>
          <w:sz w:val="24"/>
        </w:rPr>
        <w:t>：第 14 位校验码算法未公开，</w:t>
      </w:r>
      <w:r>
        <w:rPr>
          <w:rFonts w:ascii="宋体" w:hAnsi="宋体" w:eastAsia="宋体"/>
          <w:b/>
          <w:sz w:val="24"/>
        </w:rPr>
        <w:t>不校验末位正确性、不查库</w:t>
      </w:r>
    </w:p>
    <w:p w14:paraId="482E6FD3">
      <w:pPr>
        <w:spacing w:before="240" w:after="120" w:line="360" w:lineRule="auto"/>
        <w:ind w:firstLine="0"/>
      </w:pPr>
      <w:r>
        <w:rPr>
          <w:rFonts w:ascii="黑体" w:hAnsi="黑体" w:eastAsia="黑体"/>
          <w:b/>
          <w:sz w:val="28"/>
        </w:rPr>
        <w:t>4.3 生产日期 / 保质期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77BFA3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2CED5A7C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情形</w:t>
            </w:r>
          </w:p>
        </w:tc>
        <w:tc>
          <w:tcPr>
            <w:tcW w:w="4323" w:type="dxa"/>
          </w:tcPr>
          <w:p w14:paraId="7167EA2C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结果</w:t>
            </w:r>
          </w:p>
        </w:tc>
      </w:tr>
      <w:tr w14:paraId="4FDC17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65AD8D2B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日期格式非法 / 晚于今天</w:t>
            </w:r>
          </w:p>
        </w:tc>
        <w:tc>
          <w:tcPr>
            <w:tcW w:w="4323" w:type="dxa"/>
          </w:tcPr>
          <w:p w14:paraId="5BF2A054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提示日期异常（黄）</w:t>
            </w:r>
          </w:p>
        </w:tc>
      </w:tr>
      <w:tr w14:paraId="1E3554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5DB032DD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已过保质期</w:t>
            </w:r>
          </w:p>
        </w:tc>
        <w:tc>
          <w:tcPr>
            <w:tcW w:w="4323" w:type="dxa"/>
          </w:tcPr>
          <w:p w14:paraId="29C4412F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红（R-YB-006 由黄升红）</w:t>
            </w:r>
          </w:p>
        </w:tc>
      </w:tr>
      <w:tr w14:paraId="5F441C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2EE9F7E8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剩余天数 &lt; 保质期 1/3</w:t>
            </w:r>
          </w:p>
        </w:tc>
        <w:tc>
          <w:tcPr>
            <w:tcW w:w="4323" w:type="dxa"/>
          </w:tcPr>
          <w:p w14:paraId="4AB123FD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临期（黄），建议标注</w:t>
            </w:r>
          </w:p>
        </w:tc>
      </w:tr>
      <w:tr w14:paraId="1C22A0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7BAD0BF6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保质期无法解析</w:t>
            </w:r>
          </w:p>
        </w:tc>
        <w:tc>
          <w:tcPr>
            <w:tcW w:w="4323" w:type="dxa"/>
          </w:tcPr>
          <w:p w14:paraId="4B38FEE8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只校验日期有效性，不做临期判断</w:t>
            </w:r>
          </w:p>
        </w:tc>
      </w:tr>
    </w:tbl>
    <w:p w14:paraId="2B5C7574">
      <w:pPr>
        <w:spacing w:after="40"/>
      </w:pPr>
    </w:p>
    <w:p w14:paraId="7239A0DB"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保质期解析规则：</w:t>
      </w:r>
      <w:r>
        <w:rPr>
          <w:rFonts w:ascii="等线" w:hAnsi="等线" w:eastAsia="等线"/>
          <w:b w:val="0"/>
          <w:sz w:val="22"/>
        </w:rPr>
        <w:t>天</w:t>
      </w:r>
      <w:r>
        <w:rPr>
          <w:rFonts w:ascii="宋体" w:hAnsi="宋体" w:eastAsia="宋体"/>
          <w:b w:val="0"/>
          <w:sz w:val="24"/>
        </w:rPr>
        <w:t xml:space="preserve"> 按 1 天、</w:t>
      </w:r>
      <w:r>
        <w:rPr>
          <w:rFonts w:ascii="等线" w:hAnsi="等线" w:eastAsia="等线"/>
          <w:b w:val="0"/>
          <w:sz w:val="22"/>
        </w:rPr>
        <w:t>个月/月</w:t>
      </w:r>
      <w:r>
        <w:rPr>
          <w:rFonts w:ascii="宋体" w:hAnsi="宋体" w:eastAsia="宋体"/>
          <w:b w:val="0"/>
          <w:sz w:val="24"/>
        </w:rPr>
        <w:t xml:space="preserve"> 按 30 天、</w:t>
      </w:r>
      <w:r>
        <w:rPr>
          <w:rFonts w:ascii="等线" w:hAnsi="等线" w:eastAsia="等线"/>
          <w:b w:val="0"/>
          <w:sz w:val="22"/>
        </w:rPr>
        <w:t>年</w:t>
      </w:r>
      <w:r>
        <w:rPr>
          <w:rFonts w:ascii="宋体" w:hAnsi="宋体" w:eastAsia="宋体"/>
          <w:b w:val="0"/>
          <w:sz w:val="24"/>
        </w:rPr>
        <w:t xml:space="preserve"> 按 365 天折算。</w:t>
      </w:r>
    </w:p>
    <w:p w14:paraId="51E2585C">
      <w:pPr>
        <w:spacing w:before="240" w:after="120" w:line="360" w:lineRule="auto"/>
        <w:ind w:firstLine="0"/>
      </w:pPr>
      <w:r>
        <w:rPr>
          <w:rFonts w:ascii="黑体" w:hAnsi="黑体" w:eastAsia="黑体"/>
          <w:b w:val="0"/>
          <w:sz w:val="32"/>
        </w:rPr>
        <w:t>五、API 调用逻辑</w:t>
      </w:r>
    </w:p>
    <w:p w14:paraId="2B116E7A">
      <w:pPr>
        <w:spacing w:before="240" w:after="120" w:line="360" w:lineRule="auto"/>
        <w:ind w:firstLine="0"/>
      </w:pPr>
      <w:r>
        <w:rPr>
          <w:rFonts w:ascii="黑体" w:hAnsi="黑体" w:eastAsia="黑体"/>
          <w:b/>
          <w:sz w:val="28"/>
        </w:rPr>
        <w:t>5.1 唯一的外部 API：智谱多模态 OCR</w:t>
      </w:r>
    </w:p>
    <w:p w14:paraId="148FB2F1"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本产品</w:t>
      </w:r>
      <w:r>
        <w:rPr>
          <w:rFonts w:ascii="宋体" w:hAnsi="宋体" w:eastAsia="宋体"/>
          <w:b/>
          <w:sz w:val="24"/>
        </w:rPr>
        <w:t>只调用一个外部 API</w:t>
      </w:r>
      <w:r>
        <w:rPr>
          <w:rFonts w:ascii="宋体" w:hAnsi="宋体" w:eastAsia="宋体"/>
          <w:b w:val="0"/>
          <w:sz w:val="24"/>
        </w:rPr>
        <w:t>，且为可选功能（证照/标签图片识别）。调用链路：</w:t>
      </w:r>
    </w:p>
    <w:p w14:paraId="755B65C1">
      <w:pPr>
        <w:spacing w:after="40" w:line="360" w:lineRule="auto"/>
        <w:ind w:left="480" w:firstLine="0"/>
      </w:pPr>
      <w:r>
        <w:rPr>
          <w:rFonts w:ascii="宋体" w:hAnsi="宋体" w:eastAsia="宋体"/>
          <w:b w:val="0"/>
          <w:sz w:val="24"/>
        </w:rPr>
        <w:t>1. 用户在录入页选择一张包装/标签图片</w:t>
      </w:r>
    </w:p>
    <w:p w14:paraId="5B26EDC6">
      <w:pPr>
        <w:spacing w:after="40" w:line="360" w:lineRule="auto"/>
        <w:ind w:left="480" w:firstLine="0"/>
      </w:pPr>
      <w:r>
        <w:rPr>
          <w:rFonts w:ascii="宋体" w:hAnsi="宋体" w:eastAsia="宋体"/>
          <w:b w:val="0"/>
          <w:sz w:val="24"/>
        </w:rPr>
        <w:t xml:space="preserve">2. </w:t>
      </w:r>
      <w:r>
        <w:rPr>
          <w:rFonts w:ascii="等线" w:hAnsi="等线" w:eastAsia="等线"/>
          <w:b w:val="0"/>
          <w:sz w:val="22"/>
        </w:rPr>
        <w:t>FileReader</w:t>
      </w:r>
      <w:r>
        <w:rPr>
          <w:rFonts w:ascii="宋体" w:hAnsi="宋体" w:eastAsia="宋体"/>
          <w:b w:val="0"/>
          <w:sz w:val="24"/>
        </w:rPr>
        <w:t xml:space="preserve"> 在本地把图片转成 dataURL（图片本身不经由任何中转服务器）</w:t>
      </w:r>
    </w:p>
    <w:p w14:paraId="760AA0DF">
      <w:pPr>
        <w:spacing w:after="40" w:line="360" w:lineRule="auto"/>
        <w:ind w:left="480" w:firstLine="0"/>
      </w:pPr>
      <w:r>
        <w:rPr>
          <w:rFonts w:ascii="宋体" w:hAnsi="宋体" w:eastAsia="宋体"/>
          <w:b w:val="0"/>
          <w:sz w:val="24"/>
        </w:rPr>
        <w:t>3. 检查本地是否已配置密钥：</w:t>
      </w:r>
      <w:r>
        <w:rPr>
          <w:rFonts w:ascii="宋体" w:hAnsi="宋体" w:eastAsia="宋体"/>
          <w:b/>
          <w:sz w:val="24"/>
        </w:rPr>
        <w:t>未配置 → 提示"已切换手录"，流程继续，不报错</w:t>
      </w:r>
    </w:p>
    <w:p w14:paraId="17CE7394">
      <w:pPr>
        <w:spacing w:after="40" w:line="360" w:lineRule="auto"/>
        <w:ind w:left="480" w:firstLine="0"/>
      </w:pPr>
      <w:r>
        <w:rPr>
          <w:rFonts w:ascii="宋体" w:hAnsi="宋体" w:eastAsia="宋体"/>
          <w:b w:val="0"/>
          <w:sz w:val="24"/>
        </w:rPr>
        <w:t xml:space="preserve">4. 已配置 → </w:t>
      </w:r>
      <w:r>
        <w:rPr>
          <w:rFonts w:ascii="等线" w:hAnsi="等线" w:eastAsia="等线"/>
          <w:b w:val="0"/>
          <w:sz w:val="22"/>
        </w:rPr>
        <w:t>POST https://open.bigmodel.cn/api/paas/v4/chat/completions</w:t>
      </w:r>
    </w:p>
    <w:p w14:paraId="0242FE18">
      <w:pPr>
        <w:spacing w:after="40" w:line="360" w:lineRule="auto"/>
        <w:ind w:left="480" w:firstLine="0"/>
      </w:pPr>
      <w:r>
        <w:rPr>
          <w:rFonts w:ascii="宋体" w:hAnsi="宋体" w:eastAsia="宋体"/>
          <w:b w:val="0"/>
          <w:sz w:val="24"/>
        </w:rPr>
        <w:t xml:space="preserve">5. 解析返回 JSON（剥离 markdown 围栏后 </w:t>
      </w:r>
      <w:r>
        <w:rPr>
          <w:rFonts w:ascii="等线" w:hAnsi="等线" w:eastAsia="等线"/>
          <w:b w:val="0"/>
          <w:sz w:val="22"/>
        </w:rPr>
        <w:t>JSON.parse</w:t>
      </w:r>
      <w:r>
        <w:rPr>
          <w:rFonts w:ascii="宋体" w:hAnsi="宋体" w:eastAsia="宋体"/>
          <w:b w:val="0"/>
          <w:sz w:val="24"/>
        </w:rPr>
        <w:t>）</w:t>
      </w:r>
    </w:p>
    <w:p w14:paraId="3EEA0064">
      <w:pPr>
        <w:spacing w:after="40" w:line="360" w:lineRule="auto"/>
        <w:ind w:left="480" w:firstLine="0"/>
      </w:pPr>
      <w:r>
        <w:rPr>
          <w:rFonts w:ascii="宋体" w:hAnsi="宋体" w:eastAsia="宋体"/>
          <w:b w:val="0"/>
          <w:sz w:val="24"/>
        </w:rPr>
        <w:t xml:space="preserve">6. 按 </w:t>
      </w:r>
      <w:r>
        <w:rPr>
          <w:rFonts w:ascii="等线" w:hAnsi="等线" w:eastAsia="等线"/>
          <w:b w:val="0"/>
          <w:sz w:val="22"/>
        </w:rPr>
        <w:t>data-key</w:t>
      </w:r>
      <w:r>
        <w:rPr>
          <w:rFonts w:ascii="宋体" w:hAnsi="宋体" w:eastAsia="宋体"/>
          <w:b w:val="0"/>
          <w:sz w:val="24"/>
        </w:rPr>
        <w:t xml:space="preserve"> 回填表单字段（用户可编辑），并提示"请逐项人工核对"</w:t>
      </w:r>
    </w:p>
    <w:p w14:paraId="4BF44549">
      <w:pPr>
        <w:spacing w:before="240" w:after="120" w:line="360" w:lineRule="auto"/>
        <w:ind w:firstLine="0"/>
      </w:pPr>
      <w:r>
        <w:rPr>
          <w:rFonts w:ascii="黑体" w:hAnsi="黑体" w:eastAsia="黑体"/>
          <w:b/>
          <w:sz w:val="28"/>
        </w:rPr>
        <w:t>5.2 请求参数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62"/>
        <w:gridCol w:w="4800"/>
      </w:tblGrid>
      <w:tr w14:paraId="2AF46D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323" w:type="dxa"/>
          </w:tcPr>
          <w:p w14:paraId="295B89CE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项</w:t>
            </w:r>
          </w:p>
        </w:tc>
        <w:tc>
          <w:tcPr>
            <w:tcW w:w="4323" w:type="dxa"/>
          </w:tcPr>
          <w:p w14:paraId="7967F674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值</w:t>
            </w:r>
          </w:p>
        </w:tc>
      </w:tr>
      <w:tr w14:paraId="2B22D7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78F39379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端点</w:t>
            </w:r>
          </w:p>
        </w:tc>
        <w:tc>
          <w:tcPr>
            <w:tcW w:w="4323" w:type="dxa"/>
          </w:tcPr>
          <w:p w14:paraId="6125B45D">
            <w:pPr>
              <w:spacing w:before="20" w:after="20" w:line="276" w:lineRule="auto"/>
              <w:ind w:firstLine="0"/>
            </w:pPr>
            <w:r>
              <w:rPr>
                <w:rFonts w:ascii="等线" w:hAnsi="等线" w:eastAsia="等线"/>
                <w:b w:val="0"/>
                <w:sz w:val="19"/>
              </w:rPr>
              <w:t>https://open.bigmodel.cn/api/paas/v4/chat/completions</w:t>
            </w:r>
          </w:p>
        </w:tc>
      </w:tr>
      <w:tr w14:paraId="67E951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323" w:type="dxa"/>
          </w:tcPr>
          <w:p w14:paraId="7FD5D9FD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模型</w:t>
            </w:r>
          </w:p>
        </w:tc>
        <w:tc>
          <w:tcPr>
            <w:tcW w:w="4323" w:type="dxa"/>
          </w:tcPr>
          <w:p w14:paraId="1493AB45">
            <w:pPr>
              <w:spacing w:before="20" w:after="20" w:line="276" w:lineRule="auto"/>
              <w:ind w:firstLine="0"/>
            </w:pPr>
            <w:r>
              <w:rPr>
                <w:rFonts w:ascii="等线" w:hAnsi="等线" w:eastAsia="等线"/>
                <w:b w:val="0"/>
                <w:sz w:val="19"/>
              </w:rPr>
              <w:t>glm-4v-flash</w:t>
            </w:r>
          </w:p>
        </w:tc>
      </w:tr>
      <w:tr w14:paraId="27B5FD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06639026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鉴权</w:t>
            </w:r>
          </w:p>
        </w:tc>
        <w:tc>
          <w:tcPr>
            <w:tcW w:w="4323" w:type="dxa"/>
          </w:tcPr>
          <w:p w14:paraId="638B6067">
            <w:pPr>
              <w:spacing w:before="20" w:after="20" w:line="276" w:lineRule="auto"/>
              <w:ind w:firstLine="0"/>
            </w:pPr>
            <w:r>
              <w:rPr>
                <w:rFonts w:ascii="等线" w:hAnsi="等线" w:eastAsia="等线"/>
                <w:b w:val="0"/>
                <w:sz w:val="19"/>
              </w:rPr>
              <w:t>Authorization: Bearer &lt;用户自己配置的 Key&gt;</w:t>
            </w:r>
          </w:p>
        </w:tc>
      </w:tr>
      <w:tr w14:paraId="6A84F8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67093C44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温度</w:t>
            </w:r>
          </w:p>
        </w:tc>
        <w:tc>
          <w:tcPr>
            <w:tcW w:w="4323" w:type="dxa"/>
          </w:tcPr>
          <w:p w14:paraId="0ED76942">
            <w:pPr>
              <w:spacing w:before="20" w:after="20" w:line="276" w:lineRule="auto"/>
              <w:ind w:firstLine="0"/>
            </w:pPr>
            <w:r>
              <w:rPr>
                <w:rFonts w:ascii="等线" w:hAnsi="等线" w:eastAsia="等线"/>
                <w:b w:val="0"/>
                <w:sz w:val="19"/>
              </w:rPr>
              <w:t>temperature: 0.1</w:t>
            </w:r>
            <w:r>
              <w:rPr>
                <w:rFonts w:ascii="宋体" w:hAnsi="宋体" w:eastAsia="宋体"/>
                <w:b w:val="0"/>
                <w:sz w:val="21"/>
              </w:rPr>
              <w:t>（抽取任务要稳定，不要发挥）</w:t>
            </w:r>
          </w:p>
        </w:tc>
      </w:tr>
      <w:tr w14:paraId="6778F8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543D3C98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消息结构</w:t>
            </w:r>
          </w:p>
        </w:tc>
        <w:tc>
          <w:tcPr>
            <w:tcW w:w="4323" w:type="dxa"/>
          </w:tcPr>
          <w:p w14:paraId="2FE8803D">
            <w:pPr>
              <w:spacing w:before="20" w:after="20" w:line="276" w:lineRule="auto"/>
              <w:ind w:firstLine="0"/>
            </w:pPr>
            <w:r>
              <w:rPr>
                <w:rFonts w:ascii="等线" w:hAnsi="等线" w:eastAsia="等线"/>
                <w:b w:val="0"/>
                <w:sz w:val="19"/>
              </w:rPr>
              <w:t>messages[0].content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= </w:t>
            </w:r>
            <w:r>
              <w:rPr>
                <w:rFonts w:ascii="等线" w:hAnsi="等线" w:eastAsia="等线"/>
                <w:b w:val="0"/>
                <w:sz w:val="19"/>
              </w:rPr>
              <w:t>[{type:"text",text:&lt;提示词&gt;}, {type:"image_url",image_url:{url:&lt;dataURL&gt;}}]</w:t>
            </w:r>
          </w:p>
        </w:tc>
      </w:tr>
    </w:tbl>
    <w:p w14:paraId="09B102E1">
      <w:pPr>
        <w:spacing w:after="40"/>
      </w:pPr>
    </w:p>
    <w:p w14:paraId="76FA5786">
      <w:pPr>
        <w:spacing w:after="40"/>
      </w:pPr>
    </w:p>
    <w:p w14:paraId="56D63D03">
      <w:pPr>
        <w:spacing w:after="40"/>
      </w:pPr>
    </w:p>
    <w:p w14:paraId="29AE4535">
      <w:pPr>
        <w:spacing w:after="40"/>
        <w:ind w:left="0" w:leftChars="0" w:firstLine="0" w:firstLineChars="0"/>
      </w:pPr>
    </w:p>
    <w:p w14:paraId="6DE35F51">
      <w:pPr>
        <w:spacing w:before="240" w:after="120" w:line="360" w:lineRule="auto"/>
        <w:ind w:firstLine="0"/>
      </w:pPr>
      <w:r>
        <w:rPr>
          <w:rFonts w:ascii="黑体" w:hAnsi="黑体" w:eastAsia="黑体"/>
          <w:b/>
          <w:sz w:val="28"/>
        </w:rPr>
        <w:t>5.3 容错与降级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48C4C9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0C17F102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失败情形</w:t>
            </w:r>
          </w:p>
        </w:tc>
        <w:tc>
          <w:tcPr>
            <w:tcW w:w="4323" w:type="dxa"/>
          </w:tcPr>
          <w:p w14:paraId="2C828ED5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处理</w:t>
            </w:r>
          </w:p>
        </w:tc>
      </w:tr>
      <w:tr w14:paraId="5892E6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59497902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未配置密钥</w:t>
            </w:r>
          </w:p>
        </w:tc>
        <w:tc>
          <w:tcPr>
            <w:tcW w:w="4323" w:type="dxa"/>
          </w:tcPr>
          <w:p w14:paraId="72F58A38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上传即提示"已自动切换手录"，主流程零阻塞</w:t>
            </w:r>
          </w:p>
        </w:tc>
      </w:tr>
      <w:tr w14:paraId="504EF8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6B9452EC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图片读取失败</w:t>
            </w:r>
          </w:p>
        </w:tc>
        <w:tc>
          <w:tcPr>
            <w:tcW w:w="4323" w:type="dxa"/>
          </w:tcPr>
          <w:p w14:paraId="73EA6DFF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提示"图片读取失败，请重试或改手录"</w:t>
            </w:r>
          </w:p>
        </w:tc>
      </w:tr>
      <w:tr w14:paraId="3C83F2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5D9A1B45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HTTP 非 2xx</w:t>
            </w:r>
          </w:p>
        </w:tc>
        <w:tc>
          <w:tcPr>
            <w:tcW w:w="4323" w:type="dxa"/>
          </w:tcPr>
          <w:p w14:paraId="01C48DDC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读取服务端 error.message 并展示，保持手录可用</w:t>
            </w:r>
          </w:p>
        </w:tc>
      </w:tr>
      <w:tr w14:paraId="4C2796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15D91A8D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返回非 JSON / 含代码围栏</w:t>
            </w:r>
          </w:p>
        </w:tc>
        <w:tc>
          <w:tcPr>
            <w:tcW w:w="4323" w:type="dxa"/>
          </w:tcPr>
          <w:p w14:paraId="6AAB2183">
            <w:pPr>
              <w:spacing w:before="20" w:after="20" w:line="276" w:lineRule="auto"/>
              <w:ind w:firstLine="0"/>
            </w:pPr>
            <w:r>
              <w:rPr>
                <w:rFonts w:ascii="等线" w:hAnsi="等线" w:eastAsia="等线"/>
                <w:b w:val="0"/>
                <w:sz w:val="19"/>
              </w:rPr>
              <w:t>parseOcrJson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剥离 ```json 围栏后重试解析</w:t>
            </w:r>
          </w:p>
        </w:tc>
      </w:tr>
      <w:tr w14:paraId="12175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6B7FB60D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解析出空对象</w:t>
            </w:r>
          </w:p>
        </w:tc>
        <w:tc>
          <w:tcPr>
            <w:tcW w:w="4323" w:type="dxa"/>
          </w:tcPr>
          <w:p w14:paraId="55EF65C6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提示"未返回可回填字段，请检查图片清晰度或改手录"</w:t>
            </w:r>
          </w:p>
        </w:tc>
      </w:tr>
    </w:tbl>
    <w:p w14:paraId="4888D214">
      <w:pPr>
        <w:spacing w:after="40"/>
      </w:pPr>
    </w:p>
    <w:p w14:paraId="2477F414">
      <w:pPr>
        <w:spacing w:before="0" w:after="60" w:line="360" w:lineRule="auto"/>
        <w:ind w:firstLine="480"/>
      </w:pPr>
      <w:r>
        <w:rPr>
          <w:rFonts w:ascii="宋体" w:hAnsi="宋体" w:eastAsia="宋体"/>
          <w:b/>
          <w:sz w:val="24"/>
        </w:rPr>
        <w:t>原则</w:t>
      </w:r>
      <w:r>
        <w:rPr>
          <w:rFonts w:ascii="宋体" w:hAnsi="宋体" w:eastAsia="宋体"/>
          <w:b w:val="0"/>
          <w:sz w:val="24"/>
        </w:rPr>
        <w:t>：OCR 是</w:t>
      </w:r>
      <w:r>
        <w:rPr>
          <w:rFonts w:hint="eastAsia"/>
          <w:b w:val="0"/>
          <w:sz w:val="24"/>
          <w:lang w:eastAsia="zh-CN"/>
        </w:rPr>
        <w:t>“</w:t>
      </w:r>
      <w:r>
        <w:rPr>
          <w:rFonts w:ascii="宋体" w:hAnsi="宋体" w:eastAsia="宋体"/>
          <w:b w:val="0"/>
          <w:sz w:val="24"/>
        </w:rPr>
        <w:t>省打字</w:t>
      </w:r>
      <w:r>
        <w:rPr>
          <w:rFonts w:hint="eastAsia"/>
          <w:b w:val="0"/>
          <w:sz w:val="24"/>
          <w:lang w:eastAsia="zh-CN"/>
        </w:rPr>
        <w:t>”</w:t>
      </w:r>
      <w:r>
        <w:rPr>
          <w:rFonts w:ascii="宋体" w:hAnsi="宋体" w:eastAsia="宋体"/>
          <w:b w:val="0"/>
          <w:sz w:val="24"/>
        </w:rPr>
        <w:t>的增强项，不是关键路径；任何失败都不阻塞体检流程。</w:t>
      </w:r>
    </w:p>
    <w:p w14:paraId="678C119F">
      <w:pPr>
        <w:spacing w:before="240" w:after="120" w:line="360" w:lineRule="auto"/>
        <w:ind w:firstLine="0"/>
      </w:pPr>
      <w:r>
        <w:rPr>
          <w:rFonts w:ascii="黑体" w:hAnsi="黑体" w:eastAsia="黑体"/>
          <w:b/>
          <w:sz w:val="28"/>
        </w:rPr>
        <w:t>5.4 密钥与隐私</w:t>
      </w:r>
    </w:p>
    <w:p w14:paraId="11B1B6CB">
      <w:pPr>
        <w:spacing w:after="40" w:line="360" w:lineRule="auto"/>
        <w:ind w:left="480" w:firstLine="0"/>
      </w:pPr>
      <w:r>
        <w:rPr>
          <w:rFonts w:ascii="宋体" w:hAnsi="宋体" w:eastAsia="宋体"/>
          <w:b w:val="0"/>
          <w:sz w:val="24"/>
        </w:rPr>
        <w:t xml:space="preserve">· 密钥仅存 </w:t>
      </w:r>
      <w:r>
        <w:rPr>
          <w:rFonts w:ascii="等线" w:hAnsi="等线" w:eastAsia="等线"/>
          <w:b w:val="0"/>
          <w:sz w:val="22"/>
        </w:rPr>
        <w:t>localStorage</w:t>
      </w:r>
      <w:r>
        <w:rPr>
          <w:rFonts w:ascii="宋体" w:hAnsi="宋体" w:eastAsia="宋体"/>
          <w:b w:val="0"/>
          <w:sz w:val="24"/>
        </w:rPr>
        <w:t>，不上传第三方（识别请求直连智谱）</w:t>
      </w:r>
    </w:p>
    <w:p w14:paraId="7F4F1867">
      <w:pPr>
        <w:spacing w:after="40" w:line="360" w:lineRule="auto"/>
        <w:ind w:left="480" w:firstLine="0"/>
      </w:pPr>
      <w:r>
        <w:rPr>
          <w:rFonts w:ascii="宋体" w:hAnsi="宋体" w:eastAsia="宋体"/>
          <w:b w:val="0"/>
          <w:sz w:val="24"/>
        </w:rPr>
        <w:t>· 未配置密钥 = 完全离线可用，评审可直接双击运行</w:t>
      </w:r>
    </w:p>
    <w:p w14:paraId="29B6EE75">
      <w:pPr>
        <w:spacing w:after="40" w:line="360" w:lineRule="auto"/>
        <w:ind w:left="480" w:firstLine="0"/>
      </w:pPr>
      <w:r>
        <w:rPr>
          <w:rFonts w:ascii="宋体" w:hAnsi="宋体" w:eastAsia="宋体"/>
          <w:b w:val="0"/>
          <w:sz w:val="24"/>
        </w:rPr>
        <w:t>· 隐私页提供"清除本地全部数据"，一键清空草稿/档案/误报/密钥</w:t>
      </w:r>
    </w:p>
    <w:p w14:paraId="6E5B96BF">
      <w:pPr>
        <w:spacing w:before="240" w:after="120" w:line="360" w:lineRule="auto"/>
        <w:ind w:firstLine="0"/>
      </w:pPr>
      <w:r>
        <w:rPr>
          <w:rFonts w:ascii="黑体" w:hAnsi="黑体" w:eastAsia="黑体"/>
          <w:b w:val="0"/>
          <w:sz w:val="32"/>
        </w:rPr>
        <w:t>六、提示词工程策略</w:t>
      </w:r>
    </w:p>
    <w:p w14:paraId="6CA050EE">
      <w:pPr>
        <w:spacing w:before="240" w:after="120" w:line="360" w:lineRule="auto"/>
        <w:ind w:firstLine="0"/>
      </w:pPr>
      <w:r>
        <w:rPr>
          <w:rFonts w:ascii="黑体" w:hAnsi="黑体" w:eastAsia="黑体"/>
          <w:b/>
          <w:sz w:val="28"/>
        </w:rPr>
        <w:t>6.1 当前提示词（P1，OCR 字段抽取；提示词版本与规则库版本独立）</w:t>
      </w:r>
    </w:p>
    <w:p w14:paraId="7B6AFB6E">
      <w:pPr>
        <w:spacing w:before="0" w:after="0" w:line="276" w:lineRule="auto"/>
        <w:ind w:left="360" w:firstLine="0"/>
      </w:pPr>
      <w:r>
        <w:rPr>
          <w:rFonts w:ascii="等线" w:hAnsi="等线" w:eastAsia="等线"/>
          <w:b w:val="0"/>
          <w:sz w:val="19"/>
        </w:rPr>
        <w:t>你是食品包装信息抽取助手。识别这张食品包装/标签图片，提取下列字段并严格返回一个 JSON 对象（不要 markdown 代码块、不要多余文字），识别不出的字段省略：</w:t>
      </w:r>
    </w:p>
    <w:p w14:paraId="3A1CA275">
      <w:pPr>
        <w:spacing w:before="0" w:after="0" w:line="276" w:lineRule="auto"/>
        <w:ind w:left="360" w:firstLine="0"/>
      </w:pPr>
      <w:r>
        <w:rPr>
          <w:rFonts w:ascii="等线" w:hAnsi="等线" w:eastAsia="等线"/>
          <w:b w:val="0"/>
          <w:sz w:val="19"/>
        </w:rPr>
        <w:t>productName 产品名称；category 申报品类；producer 生产者/生产企业；origin 产地/生产地址；spec 净含量/规格；produceDate 生产日期（格式 YYYY-MM-DD）；shelfLife 保质期；scNumber 食品生产许可证编号（SC 开头）；uscc 统一社会信用代码（18 位）。</w:t>
      </w:r>
    </w:p>
    <w:p w14:paraId="3A9640D2">
      <w:pPr>
        <w:spacing w:before="0" w:after="0" w:line="276" w:lineRule="auto"/>
        <w:ind w:left="360" w:firstLine="0"/>
      </w:pPr>
      <w:r>
        <w:rPr>
          <w:rFonts w:ascii="等线" w:hAnsi="等线" w:eastAsia="等线"/>
          <w:b w:val="0"/>
          <w:sz w:val="19"/>
        </w:rPr>
        <w:t>只返回 JSON 对象本身。</w:t>
      </w:r>
    </w:p>
    <w:p w14:paraId="62D81902">
      <w:pPr>
        <w:spacing w:after="40"/>
      </w:pPr>
    </w:p>
    <w:p w14:paraId="3C483944">
      <w:pPr>
        <w:spacing w:before="240" w:after="120" w:line="360" w:lineRule="auto"/>
        <w:ind w:firstLine="0"/>
      </w:pPr>
      <w:r>
        <w:rPr>
          <w:rFonts w:ascii="黑体" w:hAnsi="黑体" w:eastAsia="黑体"/>
          <w:b/>
          <w:sz w:val="28"/>
        </w:rPr>
        <w:t>6.2 设计要点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17B32E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7A17675C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设计</w:t>
            </w:r>
          </w:p>
        </w:tc>
        <w:tc>
          <w:tcPr>
            <w:tcW w:w="4323" w:type="dxa"/>
          </w:tcPr>
          <w:p w14:paraId="0D6F33E9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目的</w:t>
            </w:r>
          </w:p>
        </w:tc>
      </w:tr>
      <w:tr w14:paraId="57A8BD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2EF4D9CB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先给</w:t>
            </w:r>
            <w:r>
              <w:rPr>
                <w:rFonts w:ascii="宋体" w:hAnsi="宋体" w:eastAsia="宋体"/>
                <w:b/>
                <w:sz w:val="21"/>
              </w:rPr>
              <w:t>角色</w:t>
            </w:r>
            <w:r>
              <w:rPr>
                <w:rFonts w:ascii="宋体" w:hAnsi="宋体" w:eastAsia="宋体"/>
                <w:b w:val="0"/>
                <w:sz w:val="21"/>
              </w:rPr>
              <w:t>（"食品包装信息抽取助手"）</w:t>
            </w:r>
          </w:p>
        </w:tc>
        <w:tc>
          <w:tcPr>
            <w:tcW w:w="4323" w:type="dxa"/>
          </w:tcPr>
          <w:p w14:paraId="664BF95A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把模型约束在抽取任务，抑制解释性输出</w:t>
            </w:r>
          </w:p>
        </w:tc>
      </w:tr>
      <w:tr w14:paraId="25EA48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4DC81074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字段白名单</w:t>
            </w:r>
            <w:r>
              <w:rPr>
                <w:rFonts w:ascii="宋体" w:hAnsi="宋体" w:eastAsia="宋体"/>
                <w:b w:val="0"/>
                <w:sz w:val="21"/>
              </w:rPr>
              <w:t xml:space="preserve">（9 个 key 一一对应表单 </w:t>
            </w:r>
            <w:r>
              <w:rPr>
                <w:rFonts w:ascii="等线" w:hAnsi="等线" w:eastAsia="等线"/>
                <w:b w:val="0"/>
                <w:sz w:val="19"/>
              </w:rPr>
              <w:t>data-key</w:t>
            </w:r>
            <w:r>
              <w:rPr>
                <w:rFonts w:ascii="宋体" w:hAnsi="宋体" w:eastAsia="宋体"/>
                <w:b w:val="0"/>
                <w:sz w:val="21"/>
              </w:rPr>
              <w:t>）</w:t>
            </w:r>
          </w:p>
        </w:tc>
        <w:tc>
          <w:tcPr>
            <w:tcW w:w="4323" w:type="dxa"/>
          </w:tcPr>
          <w:p w14:paraId="7D625ADC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模型输出的 key 可直接映射到表单，无需二次翻译</w:t>
            </w:r>
          </w:p>
        </w:tc>
      </w:tr>
      <w:tr w14:paraId="2ED5B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5F16E1B9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格式硬约束</w:t>
            </w:r>
            <w:r>
              <w:rPr>
                <w:rFonts w:ascii="宋体" w:hAnsi="宋体" w:eastAsia="宋体"/>
                <w:b w:val="0"/>
                <w:sz w:val="21"/>
              </w:rPr>
              <w:t>（纯 JSON、禁 markdown 围栏、只返回对象）</w:t>
            </w:r>
          </w:p>
        </w:tc>
        <w:tc>
          <w:tcPr>
            <w:tcW w:w="4323" w:type="dxa"/>
          </w:tcPr>
          <w:p w14:paraId="2E4FA963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降低解析失败率；</w:t>
            </w:r>
            <w:r>
              <w:rPr>
                <w:rFonts w:ascii="等线" w:hAnsi="等线" w:eastAsia="等线"/>
                <w:b w:val="0"/>
                <w:sz w:val="19"/>
              </w:rPr>
              <w:t>parseOcrJson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仍做兜底</w:t>
            </w:r>
          </w:p>
        </w:tc>
      </w:tr>
      <w:tr w14:paraId="55707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239E9571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缺失省略</w:t>
            </w:r>
            <w:r>
              <w:rPr>
                <w:rFonts w:ascii="宋体" w:hAnsi="宋体" w:eastAsia="宋体"/>
                <w:b w:val="0"/>
                <w:sz w:val="21"/>
              </w:rPr>
              <w:t>（识别不出就省略）</w:t>
            </w:r>
          </w:p>
        </w:tc>
        <w:tc>
          <w:tcPr>
            <w:tcW w:w="4323" w:type="dxa"/>
          </w:tcPr>
          <w:p w14:paraId="58788215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避免模型编造"看起来像"的值</w:t>
            </w:r>
          </w:p>
        </w:tc>
      </w:tr>
      <w:tr w14:paraId="5CB4E1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4419CA5B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日期格式指定</w:t>
            </w:r>
            <w:r>
              <w:rPr>
                <w:rFonts w:ascii="宋体" w:hAnsi="宋体" w:eastAsia="宋体"/>
                <w:b w:val="0"/>
                <w:sz w:val="21"/>
              </w:rPr>
              <w:t>（</w:t>
            </w:r>
            <w:r>
              <w:rPr>
                <w:rFonts w:ascii="等线" w:hAnsi="等线" w:eastAsia="等线"/>
                <w:b w:val="0"/>
                <w:sz w:val="19"/>
              </w:rPr>
              <w:t>YYYY-MM-DD</w:t>
            </w:r>
            <w:r>
              <w:rPr>
                <w:rFonts w:ascii="宋体" w:hAnsi="宋体" w:eastAsia="宋体"/>
                <w:b w:val="0"/>
                <w:sz w:val="21"/>
              </w:rPr>
              <w:t>）</w:t>
            </w:r>
          </w:p>
        </w:tc>
        <w:tc>
          <w:tcPr>
            <w:tcW w:w="4323" w:type="dxa"/>
          </w:tcPr>
          <w:p w14:paraId="58AECE3D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 xml:space="preserve">与 </w:t>
            </w:r>
            <w:r>
              <w:rPr>
                <w:rFonts w:ascii="等线" w:hAnsi="等线" w:eastAsia="等线"/>
                <w:b w:val="0"/>
                <w:sz w:val="19"/>
              </w:rPr>
              <w:t>input[type=date]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及日期校验器对齐</w:t>
            </w:r>
          </w:p>
        </w:tc>
      </w:tr>
      <w:tr w14:paraId="6C5C8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3DA8C11F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温度 0.1</w:t>
            </w:r>
          </w:p>
        </w:tc>
        <w:tc>
          <w:tcPr>
            <w:tcW w:w="4323" w:type="dxa"/>
          </w:tcPr>
          <w:p w14:paraId="4E38329F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抽取任务求稳定、可复现，不要创造性</w:t>
            </w:r>
          </w:p>
        </w:tc>
      </w:tr>
    </w:tbl>
    <w:p w14:paraId="0616E1DF">
      <w:pPr>
        <w:spacing w:after="40"/>
      </w:pPr>
    </w:p>
    <w:p w14:paraId="61D49FD2">
      <w:pPr>
        <w:spacing w:before="240" w:after="120" w:line="360" w:lineRule="auto"/>
        <w:ind w:firstLine="0"/>
      </w:pPr>
      <w:r>
        <w:rPr>
          <w:rFonts w:ascii="黑体" w:hAnsi="黑体" w:eastAsia="黑体"/>
          <w:b/>
          <w:sz w:val="28"/>
        </w:rPr>
        <w:t>6.3 已知失败模式与对策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2"/>
        <w:gridCol w:w="2882"/>
      </w:tblGrid>
      <w:tr w14:paraId="681856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3C8140B6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失败模式</w:t>
            </w:r>
          </w:p>
        </w:tc>
        <w:tc>
          <w:tcPr>
            <w:tcW w:w="2882" w:type="dxa"/>
          </w:tcPr>
          <w:p w14:paraId="7FD72B7D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现状对策</w:t>
            </w:r>
          </w:p>
        </w:tc>
        <w:tc>
          <w:tcPr>
            <w:tcW w:w="2882" w:type="dxa"/>
          </w:tcPr>
          <w:p w14:paraId="7F4D7F95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后续优化方向</w:t>
            </w:r>
          </w:p>
        </w:tc>
      </w:tr>
      <w:tr w14:paraId="5F53C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3CE18A62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返回 ```json 围栏</w:t>
            </w:r>
          </w:p>
        </w:tc>
        <w:tc>
          <w:tcPr>
            <w:tcW w:w="2882" w:type="dxa"/>
          </w:tcPr>
          <w:p w14:paraId="229EBEC4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正则剥离后重解析</w:t>
            </w:r>
          </w:p>
        </w:tc>
        <w:tc>
          <w:tcPr>
            <w:tcW w:w="2882" w:type="dxa"/>
          </w:tcPr>
          <w:p w14:paraId="7DE6232C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保持</w:t>
            </w:r>
          </w:p>
        </w:tc>
      </w:tr>
      <w:tr w14:paraId="2CD1F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5ABA585C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 xml:space="preserve">字段名漂移（如 </w:t>
            </w:r>
            <w:r>
              <w:rPr>
                <w:rFonts w:ascii="等线" w:hAnsi="等线" w:eastAsia="等线"/>
                <w:b w:val="0"/>
                <w:sz w:val="19"/>
              </w:rPr>
              <w:t>product_name</w:t>
            </w:r>
            <w:r>
              <w:rPr>
                <w:rFonts w:ascii="宋体" w:hAnsi="宋体" w:eastAsia="宋体"/>
                <w:b w:val="0"/>
                <w:sz w:val="21"/>
              </w:rPr>
              <w:t>）</w:t>
            </w:r>
          </w:p>
        </w:tc>
        <w:tc>
          <w:tcPr>
            <w:tcW w:w="2882" w:type="dxa"/>
          </w:tcPr>
          <w:p w14:paraId="473164E3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 xml:space="preserve">按 </w:t>
            </w:r>
            <w:r>
              <w:rPr>
                <w:rFonts w:ascii="等线" w:hAnsi="等线" w:eastAsia="等线"/>
                <w:b w:val="0"/>
                <w:sz w:val="19"/>
              </w:rPr>
              <w:t>data-key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精确匹配，未匹配则忽略</w:t>
            </w:r>
          </w:p>
        </w:tc>
        <w:tc>
          <w:tcPr>
            <w:tcW w:w="2882" w:type="dxa"/>
          </w:tcPr>
          <w:p w14:paraId="66EB803A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增加 key 别名映射表</w:t>
            </w:r>
          </w:p>
        </w:tc>
      </w:tr>
      <w:tr w14:paraId="1F6D2E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7885E25F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包装反光/遮挡导致漏字</w:t>
            </w:r>
          </w:p>
        </w:tc>
        <w:tc>
          <w:tcPr>
            <w:tcW w:w="2882" w:type="dxa"/>
          </w:tcPr>
          <w:p w14:paraId="34AC57C5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空值不回填，提示人工核对</w:t>
            </w:r>
          </w:p>
        </w:tc>
        <w:tc>
          <w:tcPr>
            <w:tcW w:w="2882" w:type="dxa"/>
          </w:tcPr>
          <w:p w14:paraId="2B6880FB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增加"重拍建议"提示</w:t>
            </w:r>
          </w:p>
        </w:tc>
      </w:tr>
      <w:tr w14:paraId="77595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44854119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覆盖已填字段</w:t>
            </w:r>
          </w:p>
        </w:tc>
        <w:tc>
          <w:tcPr>
            <w:tcW w:w="2882" w:type="dxa"/>
          </w:tcPr>
          <w:p w14:paraId="5B3FAC49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界面明确提示"请逐项人工核对"</w:t>
            </w:r>
          </w:p>
        </w:tc>
        <w:tc>
          <w:tcPr>
            <w:tcW w:w="2882" w:type="dxa"/>
          </w:tcPr>
          <w:p w14:paraId="649F143F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改为"仅填充空字段"开关</w:t>
            </w:r>
          </w:p>
        </w:tc>
      </w:tr>
    </w:tbl>
    <w:p w14:paraId="0D7DFD37">
      <w:pPr>
        <w:spacing w:after="40"/>
      </w:pPr>
    </w:p>
    <w:p w14:paraId="7F645F3B">
      <w:pPr>
        <w:spacing w:before="240" w:after="120" w:line="360" w:lineRule="auto"/>
        <w:ind w:firstLine="0"/>
      </w:pPr>
      <w:r>
        <w:rPr>
          <w:rFonts w:ascii="黑体" w:hAnsi="黑体" w:eastAsia="黑体"/>
          <w:b/>
          <w:sz w:val="28"/>
        </w:rPr>
        <w:t>6.4 版本记录（如实）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1"/>
        <w:gridCol w:w="2161"/>
        <w:gridCol w:w="2161"/>
        <w:gridCol w:w="2161"/>
      </w:tblGrid>
      <w:tr w14:paraId="6741A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638637CB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版本</w:t>
            </w:r>
          </w:p>
        </w:tc>
        <w:tc>
          <w:tcPr>
            <w:tcW w:w="2161" w:type="dxa"/>
          </w:tcPr>
          <w:p w14:paraId="1373C045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日期</w:t>
            </w:r>
          </w:p>
        </w:tc>
        <w:tc>
          <w:tcPr>
            <w:tcW w:w="2161" w:type="dxa"/>
          </w:tcPr>
          <w:p w14:paraId="635328E8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变更</w:t>
            </w:r>
          </w:p>
        </w:tc>
        <w:tc>
          <w:tcPr>
            <w:tcW w:w="2161" w:type="dxa"/>
          </w:tcPr>
          <w:p w14:paraId="46BDAA41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实测情况</w:t>
            </w:r>
          </w:p>
        </w:tc>
      </w:tr>
      <w:tr w14:paraId="0CDEE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723E0E4A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P1</w:t>
            </w:r>
          </w:p>
        </w:tc>
        <w:tc>
          <w:tcPr>
            <w:tcW w:w="2161" w:type="dxa"/>
          </w:tcPr>
          <w:p w14:paraId="574F8B08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2026-10-23</w:t>
            </w:r>
          </w:p>
        </w:tc>
        <w:tc>
          <w:tcPr>
            <w:tcW w:w="2161" w:type="dxa"/>
          </w:tcPr>
          <w:p w14:paraId="0488CFC6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首版抽取提示词：角色 + 9 字段白名单 + 纯 JSON 约束 + 温度 0.1</w:t>
            </w:r>
          </w:p>
        </w:tc>
        <w:tc>
          <w:tcPr>
            <w:tcW w:w="2161" w:type="dxa"/>
          </w:tcPr>
          <w:p w14:paraId="295617D1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已完成无密钥降级路径与解析容错的自动化验收；</w:t>
            </w:r>
            <w:r>
              <w:rPr>
                <w:rFonts w:ascii="宋体" w:hAnsi="宋体" w:eastAsia="宋体"/>
                <w:b/>
                <w:sz w:val="21"/>
              </w:rPr>
              <w:t>真实图片端到端识别尚未联调</w:t>
            </w:r>
            <w:r>
              <w:rPr>
                <w:rFonts w:ascii="宋体" w:hAnsi="宋体" w:eastAsia="宋体"/>
                <w:b w:val="0"/>
                <w:sz w:val="21"/>
              </w:rPr>
              <w:t>（缺可用 Key）</w:t>
            </w:r>
          </w:p>
        </w:tc>
      </w:tr>
    </w:tbl>
    <w:p w14:paraId="2D21D454">
      <w:pPr>
        <w:spacing w:after="40"/>
      </w:pPr>
    </w:p>
    <w:p w14:paraId="3D77E277">
      <w:pPr>
        <w:spacing w:before="0" w:after="60" w:line="360" w:lineRule="auto"/>
        <w:ind w:firstLine="0"/>
      </w:pPr>
      <w:r>
        <w:rPr>
          <w:rFonts w:ascii="楷体" w:hAnsi="楷体" w:eastAsia="楷体"/>
          <w:b w:val="0"/>
          <w:sz w:val="22"/>
        </w:rPr>
        <w:t>说明：截至本文档编制，提示词仅有一个版本，尚无第二版迭代实测数据。不虚构迭代记录；后续接入真实 Key 后，将按"漏字率 / 字段错位率 / 解析失败率"三项指标做 P2 调优并补记。</w:t>
      </w:r>
    </w:p>
    <w:p w14:paraId="42EF7289">
      <w:pPr>
        <w:spacing w:before="240" w:after="120" w:line="360" w:lineRule="auto"/>
        <w:ind w:firstLine="0"/>
      </w:pPr>
      <w:r>
        <w:rPr>
          <w:rFonts w:ascii="黑体" w:hAnsi="黑体" w:eastAsia="黑体"/>
          <w:b w:val="0"/>
          <w:sz w:val="32"/>
        </w:rPr>
        <w:t>七、本土场景转功能模块</w:t>
      </w:r>
    </w:p>
    <w:p w14:paraId="20CD0735"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工具不是先有功能再找场景，而是从山东助农直播的具体痛点倒推模块：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1"/>
        <w:gridCol w:w="2161"/>
        <w:gridCol w:w="2161"/>
        <w:gridCol w:w="2161"/>
      </w:tblGrid>
      <w:tr w14:paraId="28FBC0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728753AC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场景痛点（助农直播基地）</w:t>
            </w:r>
          </w:p>
        </w:tc>
        <w:tc>
          <w:tcPr>
            <w:tcW w:w="2161" w:type="dxa"/>
          </w:tcPr>
          <w:p w14:paraId="10D9D2DB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观察</w:t>
            </w:r>
          </w:p>
        </w:tc>
        <w:tc>
          <w:tcPr>
            <w:tcW w:w="2161" w:type="dxa"/>
          </w:tcPr>
          <w:p w14:paraId="0BAE38BA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转化为功能</w:t>
            </w:r>
          </w:p>
        </w:tc>
        <w:tc>
          <w:tcPr>
            <w:tcW w:w="2161" w:type="dxa"/>
          </w:tcPr>
          <w:p w14:paraId="4ECBEB7E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对应规则</w:t>
            </w:r>
          </w:p>
        </w:tc>
      </w:tr>
      <w:tr w14:paraId="5C2A89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2643273C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农户把刚摘的苹果当"预包装食品"报备，被要求提供 SC</w:t>
            </w:r>
          </w:p>
        </w:tc>
        <w:tc>
          <w:tcPr>
            <w:tcW w:w="2161" w:type="dxa"/>
          </w:tcPr>
          <w:p w14:paraId="2FD19C64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类型错判导致误杀</w:t>
            </w:r>
          </w:p>
        </w:tc>
        <w:tc>
          <w:tcPr>
            <w:tcW w:w="2161" w:type="dxa"/>
          </w:tcPr>
          <w:p w14:paraId="5B108B8B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分流向导 + 食用农产品线不采集 SC；核验显式提示"无需 SC"</w:t>
            </w:r>
          </w:p>
        </w:tc>
        <w:tc>
          <w:tcPr>
            <w:tcW w:w="2161" w:type="dxa"/>
          </w:tcPr>
          <w:p w14:paraId="39B2732A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</w:tr>
      <w:tr w14:paraId="4DBBF9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5621F5D6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供应商拿别家产品的检测报告来过审</w:t>
            </w:r>
          </w:p>
        </w:tc>
        <w:tc>
          <w:tcPr>
            <w:tcW w:w="2161" w:type="dxa"/>
          </w:tcPr>
          <w:p w14:paraId="29EACF71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报告与产品对不上</w:t>
            </w:r>
          </w:p>
        </w:tc>
        <w:tc>
          <w:tcPr>
            <w:tcW w:w="2161" w:type="dxa"/>
          </w:tcPr>
          <w:p w14:paraId="3F1EDC5C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新增"检测报告信息"录入区 + 实体比对</w:t>
            </w:r>
          </w:p>
        </w:tc>
        <w:tc>
          <w:tcPr>
            <w:tcW w:w="2161" w:type="dxa"/>
          </w:tcPr>
          <w:p w14:paraId="3032D06F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R-COM-006</w:t>
            </w:r>
          </w:p>
        </w:tc>
      </w:tr>
      <w:tr w14:paraId="25962C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70A87ED7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地方特产上架前文案写"全网最低价、顶级"</w:t>
            </w:r>
          </w:p>
        </w:tc>
        <w:tc>
          <w:tcPr>
            <w:tcW w:w="2161" w:type="dxa"/>
          </w:tcPr>
          <w:p w14:paraId="236681E4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绝对化用语高发</w:t>
            </w:r>
          </w:p>
        </w:tc>
        <w:tc>
          <w:tcPr>
            <w:tcW w:w="2161" w:type="dxa"/>
          </w:tcPr>
          <w:p w14:paraId="04A749C2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宣称文案词表命中 + 整改替换建议</w:t>
            </w:r>
          </w:p>
        </w:tc>
        <w:tc>
          <w:tcPr>
            <w:tcW w:w="2161" w:type="dxa"/>
          </w:tcPr>
          <w:p w14:paraId="15D8B89F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R-COM-003</w:t>
            </w:r>
          </w:p>
        </w:tc>
      </w:tr>
      <w:tr w14:paraId="26D2CE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01B82DD8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小厂包装标签缺配料表/净含量</w:t>
            </w:r>
          </w:p>
        </w:tc>
        <w:tc>
          <w:tcPr>
            <w:tcW w:w="2161" w:type="dxa"/>
          </w:tcPr>
          <w:p w14:paraId="4DF99BE3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标签法定要素不全</w:t>
            </w:r>
          </w:p>
        </w:tc>
        <w:tc>
          <w:tcPr>
            <w:tcW w:w="2161" w:type="dxa"/>
          </w:tcPr>
          <w:p w14:paraId="45FA54AC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标签完整性字段 + 缺项清单</w:t>
            </w:r>
          </w:p>
        </w:tc>
        <w:tc>
          <w:tcPr>
            <w:tcW w:w="2161" w:type="dxa"/>
          </w:tcPr>
          <w:p w14:paraId="0F9DC822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R-YB-004</w:t>
            </w:r>
          </w:p>
        </w:tc>
      </w:tr>
      <w:tr w14:paraId="700927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013C6ACF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临期品混入直播清单</w:t>
            </w:r>
          </w:p>
        </w:tc>
        <w:tc>
          <w:tcPr>
            <w:tcW w:w="2161" w:type="dxa"/>
          </w:tcPr>
          <w:p w14:paraId="7F6DAEB5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日期与保质期管理粗放</w:t>
            </w:r>
          </w:p>
        </w:tc>
        <w:tc>
          <w:tcPr>
            <w:tcW w:w="2161" w:type="dxa"/>
          </w:tcPr>
          <w:p w14:paraId="199D386F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生产日期 + 保质期 → 过期红 / 临期黄</w:t>
            </w:r>
          </w:p>
        </w:tc>
        <w:tc>
          <w:tcPr>
            <w:tcW w:w="2161" w:type="dxa"/>
          </w:tcPr>
          <w:p w14:paraId="254182C0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R-YB-006</w:t>
            </w:r>
          </w:p>
        </w:tc>
      </w:tr>
      <w:tr w14:paraId="02E28F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12C63304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冒用"烟台苹果"等地理标志</w:t>
            </w:r>
          </w:p>
        </w:tc>
        <w:tc>
          <w:tcPr>
            <w:tcW w:w="2161" w:type="dxa"/>
          </w:tcPr>
          <w:p w14:paraId="28081E66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区域公用品牌被泛用</w:t>
            </w:r>
          </w:p>
        </w:tc>
        <w:tc>
          <w:tcPr>
            <w:tcW w:w="2161" w:type="dxa"/>
          </w:tcPr>
          <w:p w14:paraId="5CE9532A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地标授权字段 + 产区一致性</w:t>
            </w:r>
          </w:p>
        </w:tc>
        <w:tc>
          <w:tcPr>
            <w:tcW w:w="2161" w:type="dxa"/>
          </w:tcPr>
          <w:p w14:paraId="36475AD6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R-DL-001/002</w:t>
            </w:r>
          </w:p>
        </w:tc>
      </w:tr>
      <w:tr w14:paraId="44673D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7B279FA3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选品员不懂法条，不敢下判断</w:t>
            </w:r>
          </w:p>
        </w:tc>
        <w:tc>
          <w:tcPr>
            <w:tcW w:w="2161" w:type="dxa"/>
          </w:tcPr>
          <w:p w14:paraId="0F324D74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缺可追溯依据</w:t>
            </w:r>
          </w:p>
        </w:tc>
        <w:tc>
          <w:tcPr>
            <w:tcW w:w="2161" w:type="dxa"/>
          </w:tcPr>
          <w:p w14:paraId="630C331D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每条判定附法规依据 + 风险说明 + 整改动作，条款号【待核对】</w:t>
            </w:r>
          </w:p>
        </w:tc>
        <w:tc>
          <w:tcPr>
            <w:tcW w:w="2161" w:type="dxa"/>
          </w:tcPr>
          <w:p w14:paraId="2BA20FD3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</w:tr>
      <w:tr w14:paraId="253158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2F1641C2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出了问题说不清"当时谁定的"</w:t>
            </w:r>
          </w:p>
        </w:tc>
        <w:tc>
          <w:tcPr>
            <w:tcW w:w="2161" w:type="dxa"/>
          </w:tcPr>
          <w:p w14:paraId="5513101C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无留痕</w:t>
            </w:r>
          </w:p>
        </w:tc>
        <w:tc>
          <w:tcPr>
            <w:tcW w:w="2161" w:type="dxa"/>
          </w:tcPr>
          <w:p w14:paraId="2EB6ED28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人工逐条裁决 + 签字 + 日期 + 本地档案</w:t>
            </w:r>
          </w:p>
        </w:tc>
        <w:tc>
          <w:tcPr>
            <w:tcW w:w="2161" w:type="dxa"/>
          </w:tcPr>
          <w:p w14:paraId="3B65D32E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</w:tr>
    </w:tbl>
    <w:p w14:paraId="02C06637">
      <w:pPr>
        <w:spacing w:after="40"/>
      </w:pPr>
    </w:p>
    <w:p w14:paraId="79A59854">
      <w:pPr>
        <w:spacing w:before="240" w:after="120" w:line="360" w:lineRule="auto"/>
        <w:ind w:firstLine="0"/>
      </w:pPr>
      <w:r>
        <w:rPr>
          <w:rFonts w:ascii="黑体" w:hAnsi="黑体" w:eastAsia="黑体"/>
          <w:b w:val="0"/>
          <w:sz w:val="32"/>
        </w:rPr>
        <w:t>八、人机协作流程</w:t>
      </w:r>
    </w:p>
    <w:p w14:paraId="3C8A0892">
      <w:pPr>
        <w:spacing w:before="240" w:after="120" w:line="360" w:lineRule="auto"/>
        <w:ind w:firstLine="0"/>
      </w:pPr>
      <w:r>
        <w:rPr>
          <w:rFonts w:ascii="黑体" w:hAnsi="黑体" w:eastAsia="黑体"/>
          <w:b/>
          <w:sz w:val="28"/>
        </w:rPr>
        <w:t>8.1 开发期：谁做了什么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2"/>
        <w:gridCol w:w="2882"/>
      </w:tblGrid>
      <w:tr w14:paraId="4CC1F7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485699F9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环节</w:t>
            </w:r>
          </w:p>
        </w:tc>
        <w:tc>
          <w:tcPr>
            <w:tcW w:w="2882" w:type="dxa"/>
          </w:tcPr>
          <w:p w14:paraId="6F2F8E6C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人</w:t>
            </w:r>
          </w:p>
        </w:tc>
        <w:tc>
          <w:tcPr>
            <w:tcW w:w="2882" w:type="dxa"/>
          </w:tcPr>
          <w:p w14:paraId="7CC9AC84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AI</w:t>
            </w:r>
          </w:p>
        </w:tc>
      </w:tr>
      <w:tr w14:paraId="4CD28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43894B1C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选题与场景</w:t>
            </w:r>
          </w:p>
        </w:tc>
        <w:tc>
          <w:tcPr>
            <w:tcW w:w="2882" w:type="dxa"/>
          </w:tcPr>
          <w:p w14:paraId="1FE9AD37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确定助农直播选品场景、目标用户、竞品差异</w:t>
            </w:r>
          </w:p>
        </w:tc>
        <w:tc>
          <w:tcPr>
            <w:tcW w:w="2882" w:type="dxa"/>
          </w:tcPr>
          <w:p w14:paraId="229D80C3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竞品检索与差异化分析</w:t>
            </w:r>
          </w:p>
        </w:tc>
      </w:tr>
      <w:tr w14:paraId="124E80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5DFA311D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规则整理</w:t>
            </w:r>
          </w:p>
        </w:tc>
        <w:tc>
          <w:tcPr>
            <w:tcW w:w="2882" w:type="dxa"/>
          </w:tcPr>
          <w:p w14:paraId="794FB745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确定红线（不生成法条、条款待核对）、审定规则分类</w:t>
            </w:r>
          </w:p>
        </w:tc>
        <w:tc>
          <w:tcPr>
            <w:tcW w:w="2882" w:type="dxa"/>
          </w:tcPr>
          <w:p w14:paraId="4AA2C955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起草 20 条规则结构（第三轮整改新增 R-NC-003，现为 21 条）</w:t>
            </w:r>
          </w:p>
        </w:tc>
      </w:tr>
      <w:tr w14:paraId="14455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191F1BED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编码</w:t>
            </w:r>
          </w:p>
        </w:tc>
        <w:tc>
          <w:tcPr>
            <w:tcW w:w="2882" w:type="dxa"/>
          </w:tcPr>
          <w:p w14:paraId="6F502E27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验收每阶段功能、提出修改</w:t>
            </w:r>
          </w:p>
        </w:tc>
        <w:tc>
          <w:tcPr>
            <w:tcW w:w="2882" w:type="dxa"/>
          </w:tcPr>
          <w:p w14:paraId="0D0EA8BB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全部前端代码、校验算法、判定引擎</w:t>
            </w:r>
          </w:p>
        </w:tc>
      </w:tr>
      <w:tr w14:paraId="71E46F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4950D500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案例</w:t>
            </w:r>
          </w:p>
        </w:tc>
        <w:tc>
          <w:tcPr>
            <w:tcW w:w="2882" w:type="dxa"/>
          </w:tcPr>
          <w:p w14:paraId="2574EE69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授权案例口径（主体匿名）</w:t>
            </w:r>
          </w:p>
        </w:tc>
        <w:tc>
          <w:tcPr>
            <w:tcW w:w="2882" w:type="dxa"/>
          </w:tcPr>
          <w:p w14:paraId="5E363D7C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设计四态案例、执行、截图、写案例文档</w:t>
            </w:r>
          </w:p>
        </w:tc>
      </w:tr>
      <w:tr w14:paraId="32D19A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1AF1ABDC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测试</w:t>
            </w:r>
          </w:p>
        </w:tc>
        <w:tc>
          <w:tcPr>
            <w:tcW w:w="2882" w:type="dxa"/>
          </w:tcPr>
          <w:p w14:paraId="49FA9515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抽验结果合理性</w:t>
            </w:r>
          </w:p>
        </w:tc>
        <w:tc>
          <w:tcPr>
            <w:tcW w:w="2882" w:type="dxa"/>
          </w:tcPr>
          <w:p w14:paraId="25DE70CC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48 条自测脚本、联调回归、缺陷定位与修复</w:t>
            </w:r>
          </w:p>
        </w:tc>
      </w:tr>
      <w:tr w14:paraId="34A834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26678518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文档</w:t>
            </w:r>
          </w:p>
        </w:tc>
        <w:tc>
          <w:tcPr>
            <w:tcW w:w="2882" w:type="dxa"/>
          </w:tcPr>
          <w:p w14:paraId="712B8B54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审阅</w:t>
            </w:r>
          </w:p>
        </w:tc>
        <w:tc>
          <w:tcPr>
            <w:tcW w:w="2882" w:type="dxa"/>
          </w:tcPr>
          <w:p w14:paraId="506822F2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技术说明、AI 应用说明、使用说明初稿</w:t>
            </w:r>
          </w:p>
        </w:tc>
      </w:tr>
    </w:tbl>
    <w:p w14:paraId="5BCEFA21">
      <w:pPr>
        <w:spacing w:after="40"/>
      </w:pPr>
    </w:p>
    <w:p w14:paraId="3C04B80B">
      <w:pPr>
        <w:spacing w:before="0" w:after="60" w:line="360" w:lineRule="auto"/>
        <w:ind w:firstLine="480"/>
      </w:pPr>
      <w:r>
        <w:rPr>
          <w:rFonts w:ascii="宋体" w:hAnsi="宋体" w:eastAsia="宋体"/>
          <w:b/>
          <w:sz w:val="24"/>
        </w:rPr>
        <w:t>证据留痕</w:t>
      </w:r>
      <w:r>
        <w:rPr>
          <w:rFonts w:ascii="宋体" w:hAnsi="宋体" w:eastAsia="宋体"/>
          <w:b w:val="0"/>
          <w:sz w:val="24"/>
        </w:rPr>
        <w:t xml:space="preserve">：全过程记录在 </w:t>
      </w:r>
      <w:r>
        <w:rPr>
          <w:rFonts w:ascii="等线" w:hAnsi="等线" w:eastAsia="等线"/>
          <w:b w:val="0"/>
          <w:sz w:val="22"/>
        </w:rPr>
        <w:t>docs/开发日志_AI协作证据.md</w:t>
      </w:r>
      <w:r>
        <w:rPr>
          <w:rFonts w:ascii="宋体" w:hAnsi="宋体" w:eastAsia="宋体"/>
          <w:b w:val="0"/>
          <w:sz w:val="24"/>
        </w:rPr>
        <w:t>，按 D1–D15 逐日记录"需求输入 → AI 生成 → 人工审阅 → 修正"，含 5 处真实缺陷的发现与修复（空值误判、绿转灰、档案错配、技术键泄露、报告括号误判）。</w:t>
      </w:r>
    </w:p>
    <w:p w14:paraId="2EA4BA54">
      <w:pPr>
        <w:spacing w:before="240" w:after="120" w:line="360" w:lineRule="auto"/>
        <w:ind w:firstLine="0"/>
      </w:pPr>
      <w:r>
        <w:rPr>
          <w:rFonts w:ascii="黑体" w:hAnsi="黑体" w:eastAsia="黑体"/>
          <w:b/>
          <w:sz w:val="28"/>
        </w:rPr>
        <w:t>8.2 产品内：人机协作被做进流程</w:t>
      </w:r>
    </w:p>
    <w:p w14:paraId="0EDC150A"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判定结果出来后，流程上强制经过人工环节，机器不替人下结论：</w:t>
      </w:r>
    </w:p>
    <w:p w14:paraId="139ECEA0">
      <w:pPr>
        <w:spacing w:after="40" w:line="360" w:lineRule="auto"/>
        <w:ind w:left="480" w:firstLine="0"/>
      </w:pPr>
      <w:r>
        <w:rPr>
          <w:rFonts w:ascii="宋体" w:hAnsi="宋体" w:eastAsia="宋体"/>
          <w:b w:val="0"/>
          <w:sz w:val="24"/>
        </w:rPr>
        <w:t>1. 规则引擎给出判定条目与依据（红/黄/灰/绿）</w:t>
      </w:r>
    </w:p>
    <w:p w14:paraId="624DE52C">
      <w:pPr>
        <w:spacing w:after="40" w:line="360" w:lineRule="auto"/>
        <w:ind w:left="480" w:firstLine="0"/>
      </w:pPr>
      <w:r>
        <w:rPr>
          <w:rFonts w:ascii="宋体" w:hAnsi="宋体" w:eastAsia="宋体"/>
          <w:b w:val="0"/>
          <w:sz w:val="24"/>
        </w:rPr>
        <w:t>2. 审核人对每条判定逐条裁决：</w:t>
      </w:r>
      <w:r>
        <w:rPr>
          <w:rFonts w:ascii="宋体" w:hAnsi="宋体" w:eastAsia="宋体"/>
          <w:b/>
          <w:sz w:val="24"/>
        </w:rPr>
        <w:t>确认违规 / 标记误报 / 忽略</w:t>
      </w:r>
    </w:p>
    <w:p w14:paraId="48924100">
      <w:pPr>
        <w:spacing w:after="40" w:line="360" w:lineRule="auto"/>
        <w:ind w:left="480" w:firstLine="0"/>
      </w:pPr>
      <w:r>
        <w:rPr>
          <w:rFonts w:ascii="宋体" w:hAnsi="宋体" w:eastAsia="宋体"/>
          <w:b w:val="0"/>
          <w:sz w:val="24"/>
        </w:rPr>
        <w:t>3. 选择审核结论（通过 / 整改后上播 / 禁播），填写审核人与日期</w:t>
      </w:r>
    </w:p>
    <w:p w14:paraId="3A906504">
      <w:pPr>
        <w:spacing w:after="40" w:line="360" w:lineRule="auto"/>
        <w:ind w:left="480" w:firstLine="0"/>
      </w:pPr>
      <w:r>
        <w:rPr>
          <w:rFonts w:ascii="宋体" w:hAnsi="宋体" w:eastAsia="宋体"/>
          <w:b w:val="0"/>
          <w:sz w:val="24"/>
        </w:rPr>
        <w:t>4. 点击"签字生效"后写入本地档案；标"误报"的条目同时沉淀到误报库</w:t>
      </w:r>
    </w:p>
    <w:p w14:paraId="32F9F7AF">
      <w:pPr>
        <w:spacing w:after="40" w:line="360" w:lineRule="auto"/>
        <w:ind w:left="480" w:firstLine="0"/>
      </w:pPr>
      <w:r>
        <w:rPr>
          <w:rFonts w:ascii="宋体" w:hAnsi="宋体" w:eastAsia="宋体"/>
          <w:b w:val="0"/>
          <w:sz w:val="24"/>
        </w:rPr>
        <w:t>5. 后续可据此修订规则库，形成"使用—反馈—修订"的闭环</w:t>
      </w:r>
    </w:p>
    <w:p w14:paraId="0F1C3DF0"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这条设计让工具的角色明确为</w:t>
      </w:r>
      <w:r>
        <w:rPr>
          <w:rFonts w:ascii="宋体" w:hAnsi="宋体" w:eastAsia="宋体"/>
          <w:b/>
          <w:sz w:val="24"/>
        </w:rPr>
        <w:t>辅助决策</w:t>
      </w:r>
      <w:r>
        <w:rPr>
          <w:rFonts w:ascii="宋体" w:hAnsi="宋体" w:eastAsia="宋体"/>
          <w:b w:val="0"/>
          <w:sz w:val="24"/>
        </w:rPr>
        <w:t>：机器负责"查得到、查得一致"，人负责"担责任"。</w:t>
      </w:r>
    </w:p>
    <w:p w14:paraId="783DA9E3">
      <w:pPr>
        <w:spacing w:before="240" w:after="120" w:line="360" w:lineRule="auto"/>
        <w:ind w:firstLine="0"/>
      </w:pPr>
      <w:r>
        <w:rPr>
          <w:rFonts w:ascii="黑体" w:hAnsi="黑体" w:eastAsia="黑体"/>
          <w:b/>
          <w:sz w:val="28"/>
        </w:rPr>
        <w:t>8.3 自律红线（对外统一口径）</w:t>
      </w:r>
    </w:p>
    <w:p w14:paraId="04D853A3">
      <w:pPr>
        <w:spacing w:after="40" w:line="360" w:lineRule="auto"/>
        <w:ind w:left="480" w:firstLine="0"/>
      </w:pPr>
      <w:r>
        <w:rPr>
          <w:rFonts w:ascii="宋体" w:hAnsi="宋体" w:eastAsia="宋体"/>
          <w:b w:val="0"/>
          <w:sz w:val="24"/>
        </w:rPr>
        <w:t>1. AI 不生成法条；条款号未核对完的标【待核对】</w:t>
      </w:r>
    </w:p>
    <w:p w14:paraId="51FE8CBD">
      <w:pPr>
        <w:spacing w:after="40" w:line="360" w:lineRule="auto"/>
        <w:ind w:left="480" w:firstLine="0"/>
      </w:pPr>
      <w:r>
        <w:rPr>
          <w:rFonts w:ascii="宋体" w:hAnsi="宋体" w:eastAsia="宋体"/>
          <w:b w:val="0"/>
          <w:sz w:val="24"/>
        </w:rPr>
        <w:t>2. 不做联网验真：USCC 只算校验位、SC 只校结构</w:t>
      </w:r>
    </w:p>
    <w:p w14:paraId="08B99318">
      <w:pPr>
        <w:spacing w:after="40" w:line="360" w:lineRule="auto"/>
        <w:ind w:left="480" w:firstLine="0"/>
      </w:pPr>
      <w:r>
        <w:rPr>
          <w:rFonts w:ascii="宋体" w:hAnsi="宋体" w:eastAsia="宋体"/>
          <w:b w:val="0"/>
          <w:sz w:val="24"/>
        </w:rPr>
        <w:t>3. 报告比对 ≠ 真伪鉴定：只识别"报告与申报品不匹配"</w:t>
      </w:r>
    </w:p>
    <w:p w14:paraId="6636C0F8">
      <w:pPr>
        <w:spacing w:after="40" w:line="360" w:lineRule="auto"/>
        <w:ind w:left="480" w:firstLine="0"/>
      </w:pPr>
      <w:r>
        <w:rPr>
          <w:rFonts w:ascii="宋体" w:hAnsi="宋体" w:eastAsia="宋体"/>
          <w:b w:val="0"/>
          <w:sz w:val="24"/>
        </w:rPr>
        <w:t>4. 四态不误杀：信息不足判灰，食用农产品不要求 SC</w:t>
      </w:r>
    </w:p>
    <w:p w14:paraId="6F1EB4F4">
      <w:pPr>
        <w:spacing w:after="40" w:line="360" w:lineRule="auto"/>
        <w:ind w:left="480" w:firstLine="0"/>
      </w:pPr>
      <w:r>
        <w:rPr>
          <w:rFonts w:ascii="宋体" w:hAnsi="宋体" w:eastAsia="宋体"/>
          <w:b w:val="0"/>
          <w:sz w:val="24"/>
        </w:rPr>
        <w:t>5. 人工签字生效：判定是提示，结论须签字</w:t>
      </w:r>
    </w:p>
    <w:p w14:paraId="0ADA047A">
      <w:pPr>
        <w:spacing w:after="40" w:line="360" w:lineRule="auto"/>
        <w:ind w:left="480" w:firstLine="0"/>
      </w:pPr>
      <w:r>
        <w:rPr>
          <w:rFonts w:ascii="宋体" w:hAnsi="宋体" w:eastAsia="宋体"/>
          <w:b w:val="0"/>
          <w:sz w:val="24"/>
        </w:rPr>
        <w:t>6. 案例为演示数据：主体匿名、证号为虚构值</w:t>
      </w:r>
    </w:p>
    <w:p w14:paraId="49138CD3">
      <w:pPr>
        <w:spacing w:before="240" w:after="120" w:line="360" w:lineRule="auto"/>
        <w:ind w:firstLine="0"/>
      </w:pPr>
      <w:r>
        <w:rPr>
          <w:rFonts w:ascii="黑体" w:hAnsi="黑体" w:eastAsia="黑体"/>
          <w:b w:val="0"/>
          <w:sz w:val="32"/>
        </w:rPr>
        <w:t>九、验证与测试</w:t>
      </w:r>
    </w:p>
    <w:p w14:paraId="1432D151">
      <w:pPr>
        <w:spacing w:before="240" w:after="120" w:line="360" w:lineRule="auto"/>
        <w:ind w:firstLine="0"/>
      </w:pPr>
      <w:r>
        <w:rPr>
          <w:rFonts w:ascii="黑体" w:hAnsi="黑体" w:eastAsia="黑体"/>
          <w:b/>
          <w:sz w:val="28"/>
        </w:rPr>
        <w:t>9.1 规则引擎自测：48 条，100% 通过</w:t>
      </w:r>
    </w:p>
    <w:p w14:paraId="63C4C7D9">
      <w:pPr>
        <w:spacing w:before="0" w:after="60" w:line="360" w:lineRule="auto"/>
        <w:ind w:firstLine="480"/>
      </w:pPr>
      <w:r>
        <w:rPr>
          <w:rFonts w:ascii="等线" w:hAnsi="等线" w:eastAsia="等线"/>
          <w:b w:val="0"/>
          <w:sz w:val="22"/>
        </w:rPr>
        <w:t>tests/selftest_engine.js</w:t>
      </w:r>
      <w:r>
        <w:rPr>
          <w:rFonts w:ascii="宋体" w:hAnsi="宋体" w:eastAsia="宋体"/>
          <w:b w:val="0"/>
          <w:sz w:val="24"/>
        </w:rPr>
        <w:t xml:space="preserve"> 直接加载真实 </w:t>
      </w:r>
      <w:r>
        <w:rPr>
          <w:rFonts w:ascii="等线" w:hAnsi="等线" w:eastAsia="等线"/>
          <w:b w:val="0"/>
          <w:sz w:val="22"/>
        </w:rPr>
        <w:t>engine.js / validate.js / rules-data.js</w:t>
      </w:r>
      <w:r>
        <w:rPr>
          <w:rFonts w:ascii="宋体" w:hAnsi="宋体" w:eastAsia="宋体"/>
          <w:b w:val="0"/>
          <w:sz w:val="24"/>
        </w:rPr>
        <w:t>，不 mock 判定逻辑，可离线复跑：</w:t>
      </w:r>
    </w:p>
    <w:p w14:paraId="083D8FCF">
      <w:pPr>
        <w:spacing w:before="0" w:after="0" w:line="276" w:lineRule="auto"/>
        <w:ind w:left="360" w:firstLine="0"/>
      </w:pPr>
      <w:r>
        <w:rPr>
          <w:rFonts w:ascii="等线" w:hAnsi="等线" w:eastAsia="等线"/>
          <w:b w:val="0"/>
          <w:sz w:val="19"/>
        </w:rPr>
        <w:t>node tests/selftest_engine.js</w:t>
      </w:r>
    </w:p>
    <w:p w14:paraId="7D8720B6">
      <w:pPr>
        <w:spacing w:after="4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1"/>
        <w:gridCol w:w="2161"/>
        <w:gridCol w:w="2161"/>
        <w:gridCol w:w="2161"/>
      </w:tblGrid>
      <w:tr w14:paraId="22F5A8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5FA64E78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分组</w:t>
            </w:r>
          </w:p>
        </w:tc>
        <w:tc>
          <w:tcPr>
            <w:tcW w:w="2161" w:type="dxa"/>
          </w:tcPr>
          <w:p w14:paraId="6F7C5D89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用例</w:t>
            </w:r>
          </w:p>
        </w:tc>
        <w:tc>
          <w:tcPr>
            <w:tcW w:w="2161" w:type="dxa"/>
          </w:tcPr>
          <w:p w14:paraId="3DBE89AD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通过</w:t>
            </w:r>
          </w:p>
        </w:tc>
        <w:tc>
          <w:tcPr>
            <w:tcW w:w="2161" w:type="dxa"/>
          </w:tcPr>
          <w:p w14:paraId="1C54838A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覆盖</w:t>
            </w:r>
          </w:p>
        </w:tc>
      </w:tr>
      <w:tr w14:paraId="7BA3B8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359577BD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通用宣称 COM</w:t>
            </w:r>
          </w:p>
        </w:tc>
        <w:tc>
          <w:tcPr>
            <w:tcW w:w="2161" w:type="dxa"/>
          </w:tcPr>
          <w:p w14:paraId="1D5D9636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21</w:t>
            </w:r>
          </w:p>
        </w:tc>
        <w:tc>
          <w:tcPr>
            <w:tcW w:w="2161" w:type="dxa"/>
          </w:tcPr>
          <w:p w14:paraId="1326C6A1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21</w:t>
            </w:r>
          </w:p>
        </w:tc>
        <w:tc>
          <w:tcPr>
            <w:tcW w:w="2161" w:type="dxa"/>
          </w:tcPr>
          <w:p w14:paraId="337BA10F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疾病/医疗用语（含止痛/清肺/排毒/防感冒）、保健功能、绝对化（含最便宜/全国第一等）、承诺效果与安全性承诺、虚构背书、报告比对（含 CMA/CNAS、结论、有效期、批号）与口播文案，含 3 条防误杀反向断言</w:t>
            </w:r>
          </w:p>
        </w:tc>
      </w:tr>
      <w:tr w14:paraId="60FE17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58678A51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预包装 YB</w:t>
            </w:r>
          </w:p>
        </w:tc>
        <w:tc>
          <w:tcPr>
            <w:tcW w:w="2161" w:type="dxa"/>
          </w:tcPr>
          <w:p w14:paraId="08A60CEE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8</w:t>
            </w:r>
          </w:p>
        </w:tc>
        <w:tc>
          <w:tcPr>
            <w:tcW w:w="2161" w:type="dxa"/>
          </w:tcPr>
          <w:p w14:paraId="0326B6F0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8</w:t>
            </w:r>
          </w:p>
        </w:tc>
        <w:tc>
          <w:tcPr>
            <w:tcW w:w="2161" w:type="dxa"/>
          </w:tcPr>
          <w:p w14:paraId="057083F7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SC 空（按主体分流）/结构异常、标签缺项、营养缺失、过期/临期/未来日期</w:t>
            </w:r>
          </w:p>
        </w:tc>
      </w:tr>
      <w:tr w14:paraId="40D5E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2DC513ED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保健食品 BJ</w:t>
            </w:r>
          </w:p>
        </w:tc>
        <w:tc>
          <w:tcPr>
            <w:tcW w:w="2161" w:type="dxa"/>
          </w:tcPr>
          <w:p w14:paraId="67098304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w="2161" w:type="dxa"/>
          </w:tcPr>
          <w:p w14:paraId="3C2EDE63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w="2161" w:type="dxa"/>
          </w:tcPr>
          <w:p w14:paraId="369AC435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无蓝帽、无注册号、无警示语、齐全、红压黄、过期</w:t>
            </w:r>
          </w:p>
        </w:tc>
      </w:tr>
      <w:tr w14:paraId="02DD3D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35083B8E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食用农产品 NC</w:t>
            </w:r>
          </w:p>
        </w:tc>
        <w:tc>
          <w:tcPr>
            <w:tcW w:w="2161" w:type="dxa"/>
          </w:tcPr>
          <w:p w14:paraId="3B2FB707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w="2161" w:type="dxa"/>
          </w:tcPr>
          <w:p w14:paraId="06AD6D0C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w="2161" w:type="dxa"/>
          </w:tcPr>
          <w:p w14:paraId="6119EE57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无合格证、畜禽缺检疫判红、非畜禽不误判、无 SC 不误判、过期</w:t>
            </w:r>
          </w:p>
        </w:tc>
      </w:tr>
      <w:tr w14:paraId="2E0AB4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558BD7D7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地理标志 DL</w:t>
            </w:r>
          </w:p>
        </w:tc>
        <w:tc>
          <w:tcPr>
            <w:tcW w:w="2161" w:type="dxa"/>
          </w:tcPr>
          <w:p w14:paraId="76EC90E8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w="2161" w:type="dxa"/>
          </w:tcPr>
          <w:p w14:paraId="2825D774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w="2161" w:type="dxa"/>
          </w:tcPr>
          <w:p w14:paraId="11F8B306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无授权、产地不一致、齐全、临期</w:t>
            </w:r>
          </w:p>
        </w:tc>
      </w:tr>
      <w:tr w14:paraId="0B22A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4B39434F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字段校验器</w:t>
            </w:r>
          </w:p>
        </w:tc>
        <w:tc>
          <w:tcPr>
            <w:tcW w:w="2161" w:type="dxa"/>
          </w:tcPr>
          <w:p w14:paraId="32E71B4C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w="2161" w:type="dxa"/>
          </w:tcPr>
          <w:p w14:paraId="5FEA8E81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w="2161" w:type="dxa"/>
          </w:tcPr>
          <w:p w14:paraId="3E0DDA7C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USCC 校验位对/错（含莱阳演示号）、SC 非 14 位</w:t>
            </w:r>
          </w:p>
        </w:tc>
      </w:tr>
      <w:tr w14:paraId="2DA040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0209910A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合计</w:t>
            </w:r>
          </w:p>
        </w:tc>
        <w:tc>
          <w:tcPr>
            <w:tcW w:w="2161" w:type="dxa"/>
          </w:tcPr>
          <w:p w14:paraId="27D04DF1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48</w:t>
            </w:r>
          </w:p>
        </w:tc>
        <w:tc>
          <w:tcPr>
            <w:tcW w:w="2161" w:type="dxa"/>
          </w:tcPr>
          <w:p w14:paraId="0CFEE285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48</w:t>
            </w:r>
          </w:p>
        </w:tc>
        <w:tc>
          <w:tcPr>
            <w:tcW w:w="2161" w:type="dxa"/>
          </w:tcPr>
          <w:p w14:paraId="4468A0AD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100%</w:t>
            </w:r>
          </w:p>
        </w:tc>
      </w:tr>
    </w:tbl>
    <w:p w14:paraId="65FC22BB">
      <w:pPr>
        <w:spacing w:after="40"/>
      </w:pPr>
    </w:p>
    <w:p w14:paraId="03808D08"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用例同时断言"不应命中"（反向断言），专防过度判定；日期类用例用相对当天动态计算，任何日期复跑都成立。</w:t>
      </w:r>
    </w:p>
    <w:p w14:paraId="11D55D7C">
      <w:pPr>
        <w:spacing w:before="240" w:after="120" w:line="360" w:lineRule="auto"/>
        <w:ind w:firstLine="0"/>
      </w:pPr>
      <w:r>
        <w:rPr>
          <w:rFonts w:ascii="黑体" w:hAnsi="黑体" w:eastAsia="黑体"/>
          <w:b/>
          <w:sz w:val="28"/>
        </w:rPr>
        <w:t>9.2 界面与流程验证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2"/>
        <w:gridCol w:w="2882"/>
      </w:tblGrid>
      <w:tr w14:paraId="64A506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62F5B9BA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验证项</w:t>
            </w:r>
          </w:p>
        </w:tc>
        <w:tc>
          <w:tcPr>
            <w:tcW w:w="2882" w:type="dxa"/>
          </w:tcPr>
          <w:p w14:paraId="0C9E122A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方式</w:t>
            </w:r>
          </w:p>
        </w:tc>
        <w:tc>
          <w:tcPr>
            <w:tcW w:w="2882" w:type="dxa"/>
          </w:tcPr>
          <w:p w14:paraId="6219ABDB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结果</w:t>
            </w:r>
          </w:p>
        </w:tc>
      </w:tr>
      <w:tr w14:paraId="3C496C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73034656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四态全链路（绿/黄/红/灰）</w:t>
            </w:r>
          </w:p>
        </w:tc>
        <w:tc>
          <w:tcPr>
            <w:tcW w:w="2882" w:type="dxa"/>
          </w:tcPr>
          <w:p w14:paraId="0D00A9BD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浏览器脚本驱动完整六步</w:t>
            </w:r>
          </w:p>
        </w:tc>
        <w:tc>
          <w:tcPr>
            <w:tcW w:w="2882" w:type="dxa"/>
          </w:tcPr>
          <w:p w14:paraId="41127AD2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四态判定、审核签字、档案五小节全部符合预期</w:t>
            </w:r>
          </w:p>
        </w:tc>
      </w:tr>
      <w:tr w14:paraId="52E536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28C65909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档案导出与脱敏</w:t>
            </w:r>
          </w:p>
        </w:tc>
        <w:tc>
          <w:tcPr>
            <w:tcW w:w="2882" w:type="dxa"/>
          </w:tcPr>
          <w:p w14:paraId="55314055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勾选脱敏开关前后对比</w:t>
            </w:r>
          </w:p>
        </w:tc>
        <w:tc>
          <w:tcPr>
            <w:tcW w:w="2882" w:type="dxa"/>
          </w:tcPr>
          <w:p w14:paraId="213C4F2B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SC 号、信用代码、生产者、报告编号正确遮挡</w:t>
            </w:r>
          </w:p>
        </w:tc>
      </w:tr>
      <w:tr w14:paraId="2BB770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75220084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整改单</w:t>
            </w:r>
          </w:p>
        </w:tc>
        <w:tc>
          <w:tcPr>
            <w:tcW w:w="2882" w:type="dxa"/>
          </w:tcPr>
          <w:p w14:paraId="0B047EEE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黄态生成、打印</w:t>
            </w:r>
          </w:p>
        </w:tc>
        <w:tc>
          <w:tcPr>
            <w:tcW w:w="2882" w:type="dxa"/>
          </w:tcPr>
          <w:p w14:paraId="29C22B7F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问题清单/依据/期限/签收齐全；红/灰态不出现入口</w:t>
            </w:r>
          </w:p>
        </w:tc>
      </w:tr>
      <w:tr w14:paraId="2301C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67CB6F36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乱序容错</w:t>
            </w:r>
          </w:p>
        </w:tc>
        <w:tc>
          <w:tcPr>
            <w:tcW w:w="2882" w:type="dxa"/>
          </w:tcPr>
          <w:p w14:paraId="7F2E5E1F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未核验直接判定、未判定直接审核</w:t>
            </w:r>
          </w:p>
        </w:tc>
        <w:tc>
          <w:tcPr>
            <w:tcW w:w="2882" w:type="dxa"/>
          </w:tcPr>
          <w:p w14:paraId="71B0517B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弹出确认，取消即阻断</w:t>
            </w:r>
          </w:p>
        </w:tc>
      </w:tr>
      <w:tr w14:paraId="13D81A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6A448F0C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演示模式</w:t>
            </w:r>
          </w:p>
        </w:tc>
        <w:tc>
          <w:tcPr>
            <w:tcW w:w="2882" w:type="dxa"/>
          </w:tcPr>
          <w:p w14:paraId="5683BCD3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 xml:space="preserve">一键载入 </w:t>
            </w:r>
            <w:r>
              <w:rPr>
                <w:rFonts w:ascii="宋体" w:hAnsi="宋体" w:eastAsia="宋体"/>
                <w:b/>
                <w:sz w:val="21"/>
              </w:rPr>
              <w:t>绿 / 黄 / 红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三案例</w:t>
            </w:r>
          </w:p>
        </w:tc>
        <w:tc>
          <w:tcPr>
            <w:tcW w:w="2882" w:type="dxa"/>
          </w:tcPr>
          <w:p w14:paraId="23798914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顶部下拉切换，字段回填正确，三种判定均可复现</w:t>
            </w:r>
          </w:p>
        </w:tc>
      </w:tr>
      <w:tr w14:paraId="465BD2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7F3380BB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OCR 降级</w:t>
            </w:r>
          </w:p>
        </w:tc>
        <w:tc>
          <w:tcPr>
            <w:tcW w:w="2882" w:type="dxa"/>
          </w:tcPr>
          <w:p w14:paraId="65BF69DD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无密钥上传</w:t>
            </w:r>
          </w:p>
        </w:tc>
        <w:tc>
          <w:tcPr>
            <w:tcW w:w="2882" w:type="dxa"/>
          </w:tcPr>
          <w:p w14:paraId="03CF7A6B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提示切换手录，主流程不阻塞</w:t>
            </w:r>
          </w:p>
        </w:tc>
      </w:tr>
      <w:tr w14:paraId="685A61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5FB66C47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文案分源（C5）</w:t>
            </w:r>
          </w:p>
        </w:tc>
        <w:tc>
          <w:tcPr>
            <w:tcW w:w="2882" w:type="dxa"/>
          </w:tcPr>
          <w:p w14:paraId="727277A6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包装文案与口播稿分开采集</w:t>
            </w:r>
          </w:p>
        </w:tc>
        <w:tc>
          <w:tcPr>
            <w:tcW w:w="2882" w:type="dxa"/>
          </w:tcPr>
          <w:p w14:paraId="50DFF5B8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命中提示标明"包装：xxx"或"口播：xxx"</w:t>
            </w:r>
          </w:p>
        </w:tc>
      </w:tr>
      <w:tr w14:paraId="080D58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0FD94908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报告要素（C2）</w:t>
            </w:r>
          </w:p>
        </w:tc>
        <w:tc>
          <w:tcPr>
            <w:tcW w:w="2882" w:type="dxa"/>
          </w:tcPr>
          <w:p w14:paraId="438B8D4C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结论不合格→红；过期或缺 CMA/CNAS→黄</w:t>
            </w:r>
          </w:p>
        </w:tc>
        <w:tc>
          <w:tcPr>
            <w:tcW w:w="2882" w:type="dxa"/>
          </w:tcPr>
          <w:p w14:paraId="14B5C91C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4 条自测用例覆盖</w:t>
            </w:r>
          </w:p>
        </w:tc>
      </w:tr>
      <w:tr w14:paraId="1065A2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7D973F85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官方核验入口（C1）</w:t>
            </w:r>
          </w:p>
        </w:tc>
        <w:tc>
          <w:tcPr>
            <w:tcW w:w="2882" w:type="dxa"/>
          </w:tcPr>
          <w:p w14:paraId="434C4FAE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核验结果内提供官方平台跳转</w:t>
            </w:r>
          </w:p>
        </w:tc>
        <w:tc>
          <w:tcPr>
            <w:tcW w:w="2882" w:type="dxa"/>
          </w:tcPr>
          <w:p w14:paraId="328754D6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YB 案例显示"食品生产许可获证企业查询""国家企业信用信息公示系统"两个链接，</w:t>
            </w:r>
            <w:r>
              <w:rPr>
                <w:rFonts w:ascii="宋体" w:hAnsi="宋体" w:eastAsia="宋体"/>
                <w:b/>
                <w:sz w:val="21"/>
              </w:rPr>
              <w:t>仅跳转、不代查</w:t>
            </w:r>
            <w:r>
              <w:rPr>
                <w:rFonts w:ascii="宋体" w:hAnsi="宋体" w:eastAsia="宋体"/>
                <w:b w:val="0"/>
                <w:sz w:val="21"/>
              </w:rPr>
              <w:t>，页面文案同步声明</w:t>
            </w:r>
          </w:p>
        </w:tc>
      </w:tr>
      <w:tr w14:paraId="6E1B8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72294562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官方核验留痕（R10）</w:t>
            </w:r>
          </w:p>
        </w:tc>
        <w:tc>
          <w:tcPr>
            <w:tcW w:w="2882" w:type="dxa"/>
          </w:tcPr>
          <w:p w14:paraId="23F5A4B6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核验卡内选择“一致 / 不符”+ 日期</w:t>
            </w:r>
          </w:p>
        </w:tc>
        <w:tc>
          <w:tcPr>
            <w:tcW w:w="2882" w:type="dxa"/>
          </w:tcPr>
          <w:p w14:paraId="0E3C9B2A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选择后自动填当天日期；档案「一、分流信息」写入“官方核验：SC 生产许可证编号—一致（日期）”；选“不符”且结论选“通过”时二次警示</w:t>
            </w:r>
          </w:p>
        </w:tc>
      </w:tr>
      <w:tr w14:paraId="2CBA18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06D40413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报告批号比对（R8）</w:t>
            </w:r>
          </w:p>
        </w:tc>
        <w:tc>
          <w:tcPr>
            <w:tcW w:w="2882" w:type="dxa"/>
          </w:tcPr>
          <w:p w14:paraId="709F7645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包装批号与报告批号不一致</w:t>
            </w:r>
          </w:p>
        </w:tc>
        <w:tc>
          <w:tcPr>
            <w:tcW w:w="2882" w:type="dxa"/>
          </w:tcPr>
          <w:p w14:paraId="17AE0F60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判黄并提示“报告批号「…」≠ 包装批号「…」，报告可能对应其他批次”；分隔符差异（2026-08-01 / 20260801）不误报</w:t>
            </w:r>
          </w:p>
        </w:tc>
      </w:tr>
      <w:tr w14:paraId="0C7D94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72FDC809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演示数据时效（R4）</w:t>
            </w:r>
          </w:p>
        </w:tc>
        <w:tc>
          <w:tcPr>
            <w:tcW w:w="2882" w:type="dxa"/>
          </w:tcPr>
          <w:p w14:paraId="6846A40D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任意日期打开内置演示</w:t>
            </w:r>
          </w:p>
        </w:tc>
        <w:tc>
          <w:tcPr>
            <w:tcW w:w="2882" w:type="dxa"/>
          </w:tcPr>
          <w:p w14:paraId="4A254274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生产日期与报告有效期按当天动态生成，绿/黄/红三案例不会因写死日期过期而翻车</w:t>
            </w:r>
          </w:p>
        </w:tc>
      </w:tr>
      <w:tr w14:paraId="17A2C6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3EBD971B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CSV 台账导出（C8）</w:t>
            </w:r>
          </w:p>
        </w:tc>
        <w:tc>
          <w:tcPr>
            <w:tcW w:w="2882" w:type="dxa"/>
          </w:tcPr>
          <w:p w14:paraId="225B427E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签字后台账追加、档案页导出</w:t>
            </w:r>
          </w:p>
        </w:tc>
        <w:tc>
          <w:tcPr>
            <w:tcW w:w="2882" w:type="dxa"/>
          </w:tcPr>
          <w:p w14:paraId="4F68E3C5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 xml:space="preserve">台账记录含档案编号/日期/审核人/产品/类型/结论/命中规则/待补充/规则版本；导出文件名 </w:t>
            </w:r>
            <w:r>
              <w:rPr>
                <w:rFonts w:ascii="等线" w:hAnsi="等线" w:eastAsia="等线"/>
                <w:b w:val="0"/>
                <w:sz w:val="19"/>
              </w:rPr>
              <w:t>选品体检台账_YYYYMMDD.csv</w:t>
            </w:r>
            <w:r>
              <w:rPr>
                <w:rFonts w:ascii="宋体" w:hAnsi="宋体" w:eastAsia="宋体"/>
                <w:b w:val="0"/>
                <w:sz w:val="21"/>
              </w:rPr>
              <w:t>，带 BOM 兼容 Excel</w:t>
            </w:r>
          </w:p>
        </w:tc>
      </w:tr>
    </w:tbl>
    <w:p w14:paraId="5192595A">
      <w:pPr>
        <w:spacing w:after="40"/>
      </w:pPr>
    </w:p>
    <w:p w14:paraId="4DD98198">
      <w:pPr>
        <w:spacing w:before="240" w:after="120" w:line="360" w:lineRule="auto"/>
        <w:ind w:firstLine="0"/>
      </w:pPr>
      <w:r>
        <w:rPr>
          <w:rFonts w:ascii="黑体" w:hAnsi="黑体" w:eastAsia="黑体"/>
          <w:b/>
          <w:sz w:val="28"/>
        </w:rPr>
        <w:t>9.3 三组案例留证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2"/>
        <w:gridCol w:w="2882"/>
      </w:tblGrid>
      <w:tr w14:paraId="0BED2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3CC5C1A6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案例</w:t>
            </w:r>
          </w:p>
        </w:tc>
        <w:tc>
          <w:tcPr>
            <w:tcW w:w="2882" w:type="dxa"/>
          </w:tcPr>
          <w:p w14:paraId="042F5C68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判定</w:t>
            </w:r>
          </w:p>
        </w:tc>
        <w:tc>
          <w:tcPr>
            <w:tcW w:w="2882" w:type="dxa"/>
          </w:tcPr>
          <w:p w14:paraId="1D578681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证据</w:t>
            </w:r>
          </w:p>
        </w:tc>
      </w:tr>
      <w:tr w14:paraId="668A1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61381D6D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烟台苹果（食用农产品）</w:t>
            </w:r>
          </w:p>
        </w:tc>
        <w:tc>
          <w:tcPr>
            <w:tcW w:w="2882" w:type="dxa"/>
          </w:tcPr>
          <w:p w14:paraId="69F5310E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绿·可播</w:t>
            </w:r>
          </w:p>
        </w:tc>
        <w:tc>
          <w:tcPr>
            <w:tcW w:w="2882" w:type="dxa"/>
          </w:tcPr>
          <w:p w14:paraId="7C2A531D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判定截图 + 档案截图 + 档案全文</w:t>
            </w:r>
          </w:p>
        </w:tc>
      </w:tr>
      <w:tr w14:paraId="52858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681B9106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莱阳梨膏（预包装，绝对化用语 + 标签缺项）</w:t>
            </w:r>
          </w:p>
        </w:tc>
        <w:tc>
          <w:tcPr>
            <w:tcW w:w="2882" w:type="dxa"/>
          </w:tcPr>
          <w:p w14:paraId="7EDB6385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黄·整改</w:t>
            </w:r>
          </w:p>
        </w:tc>
        <w:tc>
          <w:tcPr>
            <w:tcW w:w="2882" w:type="dxa"/>
          </w:tcPr>
          <w:p w14:paraId="038D7E3F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整改单截图 + 档案截图 + 两份全文</w:t>
            </w:r>
          </w:p>
        </w:tc>
      </w:tr>
      <w:tr w14:paraId="447C15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6BD548E2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冒用检测报告 / 资料缺失</w:t>
            </w:r>
          </w:p>
        </w:tc>
        <w:tc>
          <w:tcPr>
            <w:tcW w:w="2882" w:type="dxa"/>
          </w:tcPr>
          <w:p w14:paraId="5D957941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红·禁播 / 灰·信息不足</w:t>
            </w:r>
          </w:p>
        </w:tc>
        <w:tc>
          <w:tcPr>
            <w:tcW w:w="2882" w:type="dxa"/>
          </w:tcPr>
          <w:p w14:paraId="670E03CC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两张判定截图 + 案例文档</w:t>
            </w:r>
          </w:p>
        </w:tc>
      </w:tr>
    </w:tbl>
    <w:p w14:paraId="10B31771">
      <w:pPr>
        <w:spacing w:after="40"/>
      </w:pPr>
    </w:p>
    <w:p w14:paraId="0A8DA2CA">
      <w:pPr>
        <w:spacing w:before="240" w:after="120" w:line="360" w:lineRule="auto"/>
        <w:ind w:firstLine="0"/>
      </w:pPr>
      <w:r>
        <w:rPr>
          <w:rFonts w:ascii="黑体" w:hAnsi="黑体" w:eastAsia="黑体"/>
          <w:b w:val="0"/>
          <w:sz w:val="32"/>
        </w:rPr>
        <w:t>十、业务价值</w:t>
      </w:r>
    </w:p>
    <w:p w14:paraId="77721964">
      <w:pPr>
        <w:spacing w:after="40" w:line="360" w:lineRule="auto"/>
        <w:ind w:left="480" w:firstLine="0"/>
      </w:pPr>
      <w:r>
        <w:rPr>
          <w:rFonts w:ascii="宋体" w:hAnsi="宋体" w:eastAsia="宋体"/>
          <w:b w:val="0"/>
          <w:sz w:val="24"/>
        </w:rPr>
        <w:t xml:space="preserve">1. </w:t>
      </w:r>
      <w:r>
        <w:rPr>
          <w:rFonts w:ascii="宋体" w:hAnsi="宋体" w:eastAsia="宋体"/>
          <w:b/>
          <w:sz w:val="24"/>
        </w:rPr>
        <w:t>把"合规"从人脑经验变成可复核流程</w:t>
      </w:r>
      <w:r>
        <w:rPr>
          <w:rFonts w:ascii="宋体" w:hAnsi="宋体" w:eastAsia="宋体"/>
          <w:b w:val="0"/>
          <w:sz w:val="24"/>
        </w:rPr>
        <w:t>：同样一份资料，谁查、哪天查，结论一致；每条结论都能点开看依据。</w:t>
      </w:r>
    </w:p>
    <w:p w14:paraId="0EFE5662">
      <w:pPr>
        <w:spacing w:after="40" w:line="360" w:lineRule="auto"/>
        <w:ind w:left="480" w:firstLine="0"/>
      </w:pPr>
      <w:r>
        <w:rPr>
          <w:rFonts w:ascii="宋体" w:hAnsi="宋体" w:eastAsia="宋体"/>
          <w:b w:val="0"/>
          <w:sz w:val="24"/>
        </w:rPr>
        <w:t xml:space="preserve">2. </w:t>
      </w:r>
      <w:r>
        <w:rPr>
          <w:rFonts w:ascii="宋体" w:hAnsi="宋体" w:eastAsia="宋体"/>
          <w:b/>
          <w:sz w:val="24"/>
        </w:rPr>
        <w:t>降低误杀带来的生意损失</w:t>
      </w:r>
      <w:r>
        <w:rPr>
          <w:rFonts w:ascii="宋体" w:hAnsi="宋体" w:eastAsia="宋体"/>
          <w:b w:val="0"/>
          <w:sz w:val="24"/>
        </w:rPr>
        <w:t>：初级农产品不必因"没有 SC"被挡在门外；信息不全的品走"补资料"而不是"判违规"。</w:t>
      </w:r>
    </w:p>
    <w:p w14:paraId="5381BC07">
      <w:pPr>
        <w:spacing w:after="40" w:line="360" w:lineRule="auto"/>
        <w:ind w:left="480" w:firstLine="0"/>
      </w:pPr>
      <w:r>
        <w:rPr>
          <w:rFonts w:ascii="宋体" w:hAnsi="宋体" w:eastAsia="宋体"/>
          <w:b w:val="0"/>
          <w:sz w:val="24"/>
        </w:rPr>
        <w:t xml:space="preserve">3. </w:t>
      </w:r>
      <w:r>
        <w:rPr>
          <w:rFonts w:ascii="宋体" w:hAnsi="宋体" w:eastAsia="宋体"/>
          <w:b/>
          <w:sz w:val="24"/>
        </w:rPr>
        <w:t>缩短选品沟通成本</w:t>
      </w:r>
      <w:r>
        <w:rPr>
          <w:rFonts w:ascii="宋体" w:hAnsi="宋体" w:eastAsia="宋体"/>
          <w:b w:val="0"/>
          <w:sz w:val="24"/>
        </w:rPr>
        <w:t>：黄态直接出整改单，写明改哪、怎么改、依据什么、几天内完成，减少来回扯皮。</w:t>
      </w:r>
    </w:p>
    <w:p w14:paraId="6D6D8150">
      <w:pPr>
        <w:spacing w:after="40" w:line="360" w:lineRule="auto"/>
        <w:ind w:left="480" w:firstLine="0"/>
      </w:pPr>
      <w:r>
        <w:rPr>
          <w:rFonts w:ascii="宋体" w:hAnsi="宋体" w:eastAsia="宋体"/>
          <w:b w:val="0"/>
          <w:sz w:val="24"/>
        </w:rPr>
        <w:t xml:space="preserve">4. </w:t>
      </w:r>
      <w:r>
        <w:rPr>
          <w:rFonts w:ascii="宋体" w:hAnsi="宋体" w:eastAsia="宋体"/>
          <w:b/>
          <w:sz w:val="24"/>
        </w:rPr>
        <w:t>留下可追溯的责任链</w:t>
      </w:r>
      <w:r>
        <w:rPr>
          <w:rFonts w:ascii="宋体" w:hAnsi="宋体" w:eastAsia="宋体"/>
          <w:b w:val="0"/>
          <w:sz w:val="24"/>
        </w:rPr>
        <w:t>：谁裁决、谁签字、哪天签的，都在本地档案里；出问题能复盘。</w:t>
      </w:r>
    </w:p>
    <w:p w14:paraId="4A1EF44C">
      <w:pPr>
        <w:spacing w:after="40" w:line="360" w:lineRule="auto"/>
        <w:ind w:left="480" w:firstLine="0"/>
      </w:pPr>
      <w:r>
        <w:rPr>
          <w:rFonts w:ascii="宋体" w:hAnsi="宋体" w:eastAsia="宋体"/>
          <w:b w:val="0"/>
          <w:sz w:val="24"/>
        </w:rPr>
        <w:t xml:space="preserve">5. </w:t>
      </w:r>
      <w:r>
        <w:rPr>
          <w:rFonts w:ascii="宋体" w:hAnsi="宋体" w:eastAsia="宋体"/>
          <w:b/>
          <w:sz w:val="24"/>
        </w:rPr>
        <w:t>适配基层现实条件</w:t>
      </w:r>
      <w:r>
        <w:rPr>
          <w:rFonts w:ascii="宋体" w:hAnsi="宋体" w:eastAsia="宋体"/>
          <w:b w:val="0"/>
          <w:sz w:val="24"/>
        </w:rPr>
        <w:t>：零部署、离线可用、不传资料，适合网络与 IT 条件有限的助农直播基地。</w:t>
      </w:r>
    </w:p>
    <w:p w14:paraId="03206B81">
      <w:pPr>
        <w:spacing w:after="40" w:line="360" w:lineRule="auto"/>
        <w:ind w:left="480" w:firstLine="0"/>
      </w:pPr>
      <w:r>
        <w:rPr>
          <w:rFonts w:ascii="宋体" w:hAnsi="宋体" w:eastAsia="宋体"/>
          <w:b w:val="0"/>
          <w:sz w:val="24"/>
        </w:rPr>
        <w:t xml:space="preserve">6. </w:t>
      </w:r>
      <w:r>
        <w:rPr>
          <w:rFonts w:ascii="宋体" w:hAnsi="宋体" w:eastAsia="宋体"/>
          <w:b/>
          <w:sz w:val="24"/>
        </w:rPr>
        <w:t>可扩展</w:t>
      </w:r>
      <w:r>
        <w:rPr>
          <w:rFonts w:ascii="宋体" w:hAnsi="宋体" w:eastAsia="宋体"/>
          <w:b w:val="0"/>
          <w:sz w:val="24"/>
        </w:rPr>
        <w:t>：规则库与引擎分离，新增品类/平台只需改 JSON；误报沉淀机制让规则能随使用迭代。</w:t>
      </w:r>
    </w:p>
    <w:p w14:paraId="462FF8E2">
      <w:pPr>
        <w:spacing w:before="0" w:after="60" w:line="360" w:lineRule="auto"/>
        <w:ind w:firstLine="0"/>
      </w:pPr>
      <w:r>
        <w:rPr>
          <w:rFonts w:ascii="楷体" w:hAnsi="楷体" w:eastAsia="楷体"/>
          <w:b w:val="0"/>
          <w:sz w:val="22"/>
        </w:rPr>
        <w:t>政策与法规依据以人工编审后的规则库为准，条款号未核对项一律标【待核对】，不在文档中虚构法条。</w:t>
      </w:r>
    </w:p>
    <w:p w14:paraId="3B0BDF83">
      <w:pPr>
        <w:spacing w:before="0" w:after="60" w:line="360" w:lineRule="auto"/>
        <w:ind w:firstLine="0"/>
      </w:pPr>
    </w:p>
    <w:p w14:paraId="1F69C01A">
      <w:pPr>
        <w:spacing w:before="0" w:after="60" w:line="360" w:lineRule="auto"/>
        <w:ind w:firstLine="0"/>
      </w:pPr>
      <w:r>
        <w:rPr>
          <w:rFonts w:ascii="楷体" w:hAnsi="楷体" w:eastAsia="楷体"/>
          <w:b w:val="0"/>
          <w:sz w:val="22"/>
        </w:rPr>
        <w:t xml:space="preserve">2026-10-25 已核对并写入规则库的对口依据包括：《广告法》第九条第（三）项、第十七条、第十八条；《食品安全法》第三十四条第（八）（十）项、第三十五条、第七十三条第一款、第七十八条；GB 7718-2011 第 4.1.1 条；GB 28050-2011 第 7 章；以及 </w:t>
      </w:r>
      <w:r>
        <w:rPr>
          <w:rFonts w:ascii="楷体" w:hAnsi="楷体" w:eastAsia="楷体"/>
          <w:b/>
          <w:sz w:val="22"/>
        </w:rPr>
        <w:t>2026-03-20 施行的《直播电商经营者落实食品安全主体责任监督管理规定》（市场监管总局令第 120 号）第十六条、第十八条、第十九条</w:t>
      </w:r>
      <w:r>
        <w:rPr>
          <w:rFonts w:ascii="楷体" w:hAnsi="楷体" w:eastAsia="楷体"/>
          <w:b w:val="0"/>
          <w:sz w:val="22"/>
        </w:rPr>
        <w:t>（用于 R-COM-001/002/004/006、R-YB-001/006、R-NC-003）。</w:t>
      </w:r>
    </w:p>
    <w:p w14:paraId="0D8CD2BB">
      <w:pPr>
        <w:spacing w:before="240" w:after="120" w:line="360" w:lineRule="auto"/>
        <w:ind w:firstLine="0"/>
      </w:pPr>
      <w:r>
        <w:rPr>
          <w:rFonts w:ascii="黑体" w:hAnsi="黑体" w:eastAsia="黑体"/>
          <w:b w:val="0"/>
          <w:sz w:val="32"/>
        </w:rPr>
        <w:t>十一、局限与后续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2"/>
        <w:gridCol w:w="2882"/>
      </w:tblGrid>
      <w:tr w14:paraId="239BEF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3B92E759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局限</w:t>
            </w:r>
          </w:p>
        </w:tc>
        <w:tc>
          <w:tcPr>
            <w:tcW w:w="2882" w:type="dxa"/>
          </w:tcPr>
          <w:p w14:paraId="0082EA6B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  <w:tc>
          <w:tcPr>
            <w:tcW w:w="2882" w:type="dxa"/>
          </w:tcPr>
          <w:p w14:paraId="4B5CEF79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后续</w:t>
            </w:r>
          </w:p>
        </w:tc>
      </w:tr>
      <w:tr w14:paraId="2B727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6627793D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规则库为修订稿 v0.2</w:t>
            </w:r>
          </w:p>
        </w:tc>
        <w:tc>
          <w:tcPr>
            <w:tcW w:w="2882" w:type="dxa"/>
          </w:tcPr>
          <w:p w14:paraId="2E0CEF2F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21 条规则中 3 条未接入判定；部分条款仍待人工核对</w:t>
            </w:r>
          </w:p>
        </w:tc>
        <w:tc>
          <w:tcPr>
            <w:tcW w:w="2882" w:type="dxa"/>
          </w:tcPr>
          <w:p w14:paraId="1ECD7D08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完成人工编审后升 v1.0，逐条启用并补测</w:t>
            </w:r>
          </w:p>
        </w:tc>
      </w:tr>
      <w:tr w14:paraId="2EA19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71F80605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不做联网验真</w:t>
            </w:r>
          </w:p>
        </w:tc>
        <w:tc>
          <w:tcPr>
            <w:tcW w:w="2882" w:type="dxa"/>
          </w:tcPr>
          <w:p w14:paraId="205BAB58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USCC/SC 只做本地结构校验</w:t>
            </w:r>
          </w:p>
        </w:tc>
        <w:tc>
          <w:tcPr>
            <w:tcW w:w="2882" w:type="dxa"/>
          </w:tcPr>
          <w:p w14:paraId="4A43738B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已提供官方平台跳转与“一致 / 不符 + 日期”人工留痕（R10）；仍不代查、不自动回填</w:t>
            </w:r>
          </w:p>
        </w:tc>
      </w:tr>
      <w:tr w14:paraId="631160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577B04A4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报告比对不等于真伪鉴定</w:t>
            </w:r>
          </w:p>
        </w:tc>
        <w:tc>
          <w:tcPr>
            <w:tcW w:w="2882" w:type="dxa"/>
          </w:tcPr>
          <w:p w14:paraId="7AE8DC30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只能发现"对不上"</w:t>
            </w:r>
          </w:p>
        </w:tc>
        <w:tc>
          <w:tcPr>
            <w:tcW w:w="2882" w:type="dxa"/>
          </w:tcPr>
          <w:p w14:paraId="1C8DEA7A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明确写入使用说明，避免用户误解</w:t>
            </w:r>
          </w:p>
        </w:tc>
      </w:tr>
      <w:tr w14:paraId="5FD4B2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4625BECE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OCR 未做真实图片联调</w:t>
            </w:r>
          </w:p>
        </w:tc>
        <w:tc>
          <w:tcPr>
            <w:tcW w:w="2882" w:type="dxa"/>
          </w:tcPr>
          <w:p w14:paraId="4D0883E0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缺可用 Key，当前验证的是降级与容错</w:t>
            </w:r>
          </w:p>
        </w:tc>
        <w:tc>
          <w:tcPr>
            <w:tcW w:w="2882" w:type="dxa"/>
          </w:tcPr>
          <w:p w14:paraId="6CDCC63C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接入 Key 后按漏字率/错位率调优下一版提示词</w:t>
            </w:r>
          </w:p>
        </w:tc>
      </w:tr>
      <w:tr w14:paraId="205545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501D30E7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仅支持抖音</w:t>
            </w:r>
          </w:p>
        </w:tc>
        <w:tc>
          <w:tcPr>
            <w:tcW w:w="2882" w:type="dxa"/>
          </w:tcPr>
          <w:p w14:paraId="3136AEBE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快手/淘宝为占位</w:t>
            </w:r>
          </w:p>
        </w:tc>
        <w:tc>
          <w:tcPr>
            <w:tcW w:w="2882" w:type="dxa"/>
          </w:tcPr>
          <w:p w14:paraId="175B8855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按平台规则线扩展</w:t>
            </w:r>
          </w:p>
        </w:tc>
      </w:tr>
      <w:tr w14:paraId="79F5D9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7E7FBD40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四十八条自测覆盖规则层</w:t>
            </w:r>
          </w:p>
        </w:tc>
        <w:tc>
          <w:tcPr>
            <w:tcW w:w="2882" w:type="dxa"/>
          </w:tcPr>
          <w:p w14:paraId="4B02E2B2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不含 UI 自动化回归</w:t>
            </w:r>
          </w:p>
        </w:tc>
        <w:tc>
          <w:tcPr>
            <w:tcW w:w="2882" w:type="dxa"/>
          </w:tcPr>
          <w:p w14:paraId="0789B033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后续可补 Playwright 端到端</w:t>
            </w:r>
          </w:p>
        </w:tc>
      </w:tr>
    </w:tbl>
    <w:p w14:paraId="148B8224">
      <w:pPr>
        <w:spacing w:after="40"/>
      </w:pPr>
    </w:p>
    <w:p w14:paraId="4EC2BE4E">
      <w:pPr>
        <w:spacing w:before="240" w:after="120" w:line="360" w:lineRule="auto"/>
        <w:ind w:firstLine="0"/>
      </w:pPr>
      <w:r>
        <w:rPr>
          <w:rFonts w:ascii="黑体" w:hAnsi="黑体" w:eastAsia="黑体"/>
          <w:b w:val="0"/>
          <w:sz w:val="32"/>
        </w:rPr>
        <w:t>十二、附录：关键实现索引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368FEA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3A3AF07C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能力</w:t>
            </w:r>
          </w:p>
        </w:tc>
        <w:tc>
          <w:tcPr>
            <w:tcW w:w="4323" w:type="dxa"/>
          </w:tcPr>
          <w:p w14:paraId="33DAF15C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位置</w:t>
            </w:r>
          </w:p>
        </w:tc>
      </w:tr>
      <w:tr w14:paraId="08104A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79AD838D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四态聚合与灰级升级</w:t>
            </w:r>
          </w:p>
        </w:tc>
        <w:tc>
          <w:tcPr>
            <w:tcW w:w="4323" w:type="dxa"/>
          </w:tcPr>
          <w:p w14:paraId="07BECCC2">
            <w:pPr>
              <w:spacing w:before="20" w:after="20" w:line="276" w:lineRule="auto"/>
              <w:ind w:firstLine="0"/>
            </w:pPr>
            <w:r>
              <w:rPr>
                <w:rFonts w:ascii="等线" w:hAnsi="等线" w:eastAsia="等线"/>
                <w:b w:val="0"/>
                <w:sz w:val="19"/>
              </w:rPr>
              <w:t>js/engine.js</w:t>
            </w:r>
            <w:r>
              <w:rPr>
                <w:rFonts w:ascii="宋体" w:hAnsi="宋体" w:eastAsia="宋体"/>
                <w:b w:val="0"/>
                <w:sz w:val="21"/>
              </w:rPr>
              <w:t>（</w:t>
            </w:r>
            <w:r>
              <w:rPr>
                <w:rFonts w:ascii="等线" w:hAnsi="等线" w:eastAsia="等线"/>
                <w:b w:val="0"/>
                <w:sz w:val="19"/>
              </w:rPr>
              <w:t>judge</w:t>
            </w:r>
            <w:r>
              <w:rPr>
                <w:rFonts w:ascii="宋体" w:hAnsi="宋体" w:eastAsia="宋体"/>
                <w:b w:val="0"/>
                <w:sz w:val="21"/>
              </w:rPr>
              <w:t xml:space="preserve">）+ </w:t>
            </w:r>
            <w:r>
              <w:rPr>
                <w:rFonts w:ascii="等线" w:hAnsi="等线" w:eastAsia="等线"/>
                <w:b w:val="0"/>
                <w:sz w:val="19"/>
              </w:rPr>
              <w:t>js/app.js</w:t>
            </w:r>
            <w:r>
              <w:rPr>
                <w:rFonts w:ascii="宋体" w:hAnsi="宋体" w:eastAsia="宋体"/>
                <w:b w:val="0"/>
                <w:sz w:val="21"/>
              </w:rPr>
              <w:t>（</w:t>
            </w:r>
            <w:r>
              <w:rPr>
                <w:rFonts w:ascii="等线" w:hAnsi="等线" w:eastAsia="等线"/>
                <w:b w:val="0"/>
                <w:sz w:val="19"/>
              </w:rPr>
              <w:t>computeMissing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/ </w:t>
            </w:r>
            <w:r>
              <w:rPr>
                <w:rFonts w:ascii="等线" w:hAnsi="等线" w:eastAsia="等线"/>
                <w:b w:val="0"/>
                <w:sz w:val="19"/>
              </w:rPr>
              <w:t>renderJudge</w:t>
            </w:r>
            <w:r>
              <w:rPr>
                <w:rFonts w:ascii="宋体" w:hAnsi="宋体" w:eastAsia="宋体"/>
                <w:b w:val="0"/>
                <w:sz w:val="21"/>
              </w:rPr>
              <w:t>）</w:t>
            </w:r>
          </w:p>
        </w:tc>
      </w:tr>
      <w:tr w14:paraId="3D7C28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42558F88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GB 32100 校验位</w:t>
            </w:r>
          </w:p>
        </w:tc>
        <w:tc>
          <w:tcPr>
            <w:tcW w:w="4323" w:type="dxa"/>
          </w:tcPr>
          <w:p w14:paraId="03524B7A">
            <w:pPr>
              <w:spacing w:before="20" w:after="20" w:line="276" w:lineRule="auto"/>
              <w:ind w:firstLine="0"/>
            </w:pPr>
            <w:r>
              <w:rPr>
                <w:rFonts w:ascii="等线" w:hAnsi="等线" w:eastAsia="等线"/>
                <w:b w:val="0"/>
                <w:sz w:val="19"/>
              </w:rPr>
              <w:t>js/validate.js</w:t>
            </w:r>
            <w:r>
              <w:rPr>
                <w:rFonts w:ascii="宋体" w:hAnsi="宋体" w:eastAsia="宋体"/>
                <w:b w:val="0"/>
                <w:sz w:val="21"/>
              </w:rPr>
              <w:t>（</w:t>
            </w:r>
            <w:r>
              <w:rPr>
                <w:rFonts w:ascii="等线" w:hAnsi="等线" w:eastAsia="等线"/>
                <w:b w:val="0"/>
                <w:sz w:val="19"/>
              </w:rPr>
              <w:t>validateUSCC</w:t>
            </w:r>
            <w:r>
              <w:rPr>
                <w:rFonts w:ascii="宋体" w:hAnsi="宋体" w:eastAsia="宋体"/>
                <w:b w:val="0"/>
                <w:sz w:val="21"/>
              </w:rPr>
              <w:t>）</w:t>
            </w:r>
          </w:p>
        </w:tc>
      </w:tr>
      <w:tr w14:paraId="2C7398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4B5535B4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SC 结构校验</w:t>
            </w:r>
          </w:p>
        </w:tc>
        <w:tc>
          <w:tcPr>
            <w:tcW w:w="4323" w:type="dxa"/>
          </w:tcPr>
          <w:p w14:paraId="2BC9479B">
            <w:pPr>
              <w:spacing w:before="20" w:after="20" w:line="276" w:lineRule="auto"/>
              <w:ind w:firstLine="0"/>
            </w:pPr>
            <w:r>
              <w:rPr>
                <w:rFonts w:ascii="等线" w:hAnsi="等线" w:eastAsia="等线"/>
                <w:b w:val="0"/>
                <w:sz w:val="19"/>
              </w:rPr>
              <w:t>js/validate.js</w:t>
            </w:r>
            <w:r>
              <w:rPr>
                <w:rFonts w:ascii="宋体" w:hAnsi="宋体" w:eastAsia="宋体"/>
                <w:b w:val="0"/>
                <w:sz w:val="21"/>
              </w:rPr>
              <w:t>（</w:t>
            </w:r>
            <w:r>
              <w:rPr>
                <w:rFonts w:ascii="等线" w:hAnsi="等线" w:eastAsia="等线"/>
                <w:b w:val="0"/>
                <w:sz w:val="19"/>
              </w:rPr>
              <w:t>validateSC</w:t>
            </w:r>
            <w:r>
              <w:rPr>
                <w:rFonts w:ascii="宋体" w:hAnsi="宋体" w:eastAsia="宋体"/>
                <w:b w:val="0"/>
                <w:sz w:val="21"/>
              </w:rPr>
              <w:t>）</w:t>
            </w:r>
          </w:p>
        </w:tc>
      </w:tr>
      <w:tr w14:paraId="406F2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0D316D57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日期/临期</w:t>
            </w:r>
          </w:p>
        </w:tc>
        <w:tc>
          <w:tcPr>
            <w:tcW w:w="4323" w:type="dxa"/>
          </w:tcPr>
          <w:p w14:paraId="6566199E">
            <w:pPr>
              <w:spacing w:before="20" w:after="20" w:line="276" w:lineRule="auto"/>
              <w:ind w:firstLine="0"/>
            </w:pPr>
            <w:r>
              <w:rPr>
                <w:rFonts w:ascii="等线" w:hAnsi="等线" w:eastAsia="等线"/>
                <w:b w:val="0"/>
                <w:sz w:val="19"/>
              </w:rPr>
              <w:t>js/validate.js</w:t>
            </w:r>
            <w:r>
              <w:rPr>
                <w:rFonts w:ascii="宋体" w:hAnsi="宋体" w:eastAsia="宋体"/>
                <w:b w:val="0"/>
                <w:sz w:val="21"/>
              </w:rPr>
              <w:t>（</w:t>
            </w:r>
            <w:r>
              <w:rPr>
                <w:rFonts w:ascii="等线" w:hAnsi="等线" w:eastAsia="等线"/>
                <w:b w:val="0"/>
                <w:sz w:val="19"/>
              </w:rPr>
              <w:t>validateProduceDate</w:t>
            </w:r>
            <w:r>
              <w:rPr>
                <w:rFonts w:ascii="宋体" w:hAnsi="宋体" w:eastAsia="宋体"/>
                <w:b w:val="0"/>
                <w:sz w:val="21"/>
              </w:rPr>
              <w:t>）</w:t>
            </w:r>
          </w:p>
        </w:tc>
      </w:tr>
      <w:tr w14:paraId="5D8319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299E00A8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报告比对归一化</w:t>
            </w:r>
          </w:p>
        </w:tc>
        <w:tc>
          <w:tcPr>
            <w:tcW w:w="4323" w:type="dxa"/>
          </w:tcPr>
          <w:p w14:paraId="4C8C189A">
            <w:pPr>
              <w:spacing w:before="20" w:after="20" w:line="276" w:lineRule="auto"/>
              <w:ind w:firstLine="0"/>
            </w:pPr>
            <w:r>
              <w:rPr>
                <w:rFonts w:ascii="等线" w:hAnsi="等线" w:eastAsia="等线"/>
                <w:b w:val="0"/>
                <w:sz w:val="19"/>
              </w:rPr>
              <w:t>js/engine.js</w:t>
            </w:r>
            <w:r>
              <w:rPr>
                <w:rFonts w:ascii="宋体" w:hAnsi="宋体" w:eastAsia="宋体"/>
                <w:b w:val="0"/>
                <w:sz w:val="21"/>
              </w:rPr>
              <w:t>（</w:t>
            </w:r>
            <w:r>
              <w:rPr>
                <w:rFonts w:ascii="等线" w:hAnsi="等线" w:eastAsia="等线"/>
                <w:b w:val="0"/>
                <w:sz w:val="19"/>
              </w:rPr>
              <w:t>normalizeText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/ </w:t>
            </w:r>
            <w:r>
              <w:rPr>
                <w:rFonts w:ascii="等线" w:hAnsi="等线" w:eastAsia="等线"/>
                <w:b w:val="0"/>
                <w:sz w:val="19"/>
              </w:rPr>
              <w:t>sameThing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/ </w:t>
            </w:r>
            <w:r>
              <w:rPr>
                <w:rFonts w:ascii="等线" w:hAnsi="等线" w:eastAsia="等线"/>
                <w:b w:val="0"/>
                <w:sz w:val="19"/>
              </w:rPr>
              <w:t>checkReport</w:t>
            </w:r>
            <w:r>
              <w:rPr>
                <w:rFonts w:ascii="宋体" w:hAnsi="宋体" w:eastAsia="宋体"/>
                <w:b w:val="0"/>
                <w:sz w:val="21"/>
              </w:rPr>
              <w:t>）</w:t>
            </w:r>
          </w:p>
        </w:tc>
      </w:tr>
      <w:tr w14:paraId="76FF82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4F451BB2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人工审核与签字</w:t>
            </w:r>
          </w:p>
        </w:tc>
        <w:tc>
          <w:tcPr>
            <w:tcW w:w="4323" w:type="dxa"/>
          </w:tcPr>
          <w:p w14:paraId="158E2FF4">
            <w:pPr>
              <w:spacing w:before="20" w:after="20" w:line="276" w:lineRule="auto"/>
              <w:ind w:firstLine="0"/>
            </w:pPr>
            <w:r>
              <w:rPr>
                <w:rFonts w:ascii="等线" w:hAnsi="等线" w:eastAsia="等线"/>
                <w:b w:val="0"/>
                <w:sz w:val="19"/>
              </w:rPr>
              <w:t>js/app.js</w:t>
            </w:r>
            <w:r>
              <w:rPr>
                <w:rFonts w:ascii="宋体" w:hAnsi="宋体" w:eastAsia="宋体"/>
                <w:b w:val="0"/>
                <w:sz w:val="21"/>
              </w:rPr>
              <w:t>（</w:t>
            </w:r>
            <w:r>
              <w:rPr>
                <w:rFonts w:ascii="等线" w:hAnsi="等线" w:eastAsia="等线"/>
                <w:b w:val="0"/>
                <w:sz w:val="19"/>
              </w:rPr>
              <w:t>openReview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/ </w:t>
            </w:r>
            <w:r>
              <w:rPr>
                <w:rFonts w:ascii="等线" w:hAnsi="等线" w:eastAsia="等线"/>
                <w:b w:val="0"/>
                <w:sz w:val="19"/>
              </w:rPr>
              <w:t>commitReview</w:t>
            </w:r>
            <w:r>
              <w:rPr>
                <w:rFonts w:ascii="宋体" w:hAnsi="宋体" w:eastAsia="宋体"/>
                <w:b w:val="0"/>
                <w:sz w:val="21"/>
              </w:rPr>
              <w:t>）</w:t>
            </w:r>
          </w:p>
        </w:tc>
      </w:tr>
      <w:tr w14:paraId="491E54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24065791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档案导出与脱敏</w:t>
            </w:r>
          </w:p>
        </w:tc>
        <w:tc>
          <w:tcPr>
            <w:tcW w:w="4323" w:type="dxa"/>
          </w:tcPr>
          <w:p w14:paraId="72AEB7C2">
            <w:pPr>
              <w:spacing w:before="20" w:after="20" w:line="276" w:lineRule="auto"/>
              <w:ind w:firstLine="0"/>
            </w:pPr>
            <w:r>
              <w:rPr>
                <w:rFonts w:ascii="等线" w:hAnsi="等线" w:eastAsia="等线"/>
                <w:b w:val="0"/>
                <w:sz w:val="19"/>
              </w:rPr>
              <w:t>js/app.js</w:t>
            </w:r>
            <w:r>
              <w:rPr>
                <w:rFonts w:ascii="宋体" w:hAnsi="宋体" w:eastAsia="宋体"/>
                <w:b w:val="0"/>
                <w:sz w:val="21"/>
              </w:rPr>
              <w:t>（</w:t>
            </w:r>
            <w:r>
              <w:rPr>
                <w:rFonts w:ascii="等线" w:hAnsi="等线" w:eastAsia="等线"/>
                <w:b w:val="0"/>
                <w:sz w:val="19"/>
              </w:rPr>
              <w:t>openArchive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/ </w:t>
            </w:r>
            <w:r>
              <w:rPr>
                <w:rFonts w:ascii="等线" w:hAnsi="等线" w:eastAsia="等线"/>
                <w:b w:val="0"/>
                <w:sz w:val="19"/>
              </w:rPr>
              <w:t>renderArchive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/ </w:t>
            </w:r>
            <w:r>
              <w:rPr>
                <w:rFonts w:ascii="等线" w:hAnsi="等线" w:eastAsia="等线"/>
                <w:b w:val="0"/>
                <w:sz w:val="19"/>
              </w:rPr>
              <w:t>maskValue</w:t>
            </w:r>
            <w:r>
              <w:rPr>
                <w:rFonts w:ascii="宋体" w:hAnsi="宋体" w:eastAsia="宋体"/>
                <w:b w:val="0"/>
                <w:sz w:val="21"/>
              </w:rPr>
              <w:t>）</w:t>
            </w:r>
          </w:p>
        </w:tc>
      </w:tr>
      <w:tr w14:paraId="6405B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3EA130D7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整改单</w:t>
            </w:r>
          </w:p>
        </w:tc>
        <w:tc>
          <w:tcPr>
            <w:tcW w:w="4323" w:type="dxa"/>
          </w:tcPr>
          <w:p w14:paraId="0858A45B">
            <w:pPr>
              <w:spacing w:before="20" w:after="20" w:line="276" w:lineRule="auto"/>
              <w:ind w:firstLine="0"/>
            </w:pPr>
            <w:r>
              <w:rPr>
                <w:rFonts w:ascii="等线" w:hAnsi="等线" w:eastAsia="等线"/>
                <w:b w:val="0"/>
                <w:sz w:val="19"/>
              </w:rPr>
              <w:t>js/app.js</w:t>
            </w:r>
            <w:r>
              <w:rPr>
                <w:rFonts w:ascii="宋体" w:hAnsi="宋体" w:eastAsia="宋体"/>
                <w:b w:val="0"/>
                <w:sz w:val="21"/>
              </w:rPr>
              <w:t>（</w:t>
            </w:r>
            <w:r>
              <w:rPr>
                <w:rFonts w:ascii="等线" w:hAnsi="等线" w:eastAsia="等线"/>
                <w:b w:val="0"/>
                <w:sz w:val="19"/>
              </w:rPr>
              <w:t>openRectify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/ </w:t>
            </w:r>
            <w:r>
              <w:rPr>
                <w:rFonts w:ascii="等线" w:hAnsi="等线" w:eastAsia="等线"/>
                <w:b w:val="0"/>
                <w:sz w:val="19"/>
              </w:rPr>
              <w:t>renderRectify</w:t>
            </w:r>
            <w:r>
              <w:rPr>
                <w:rFonts w:ascii="宋体" w:hAnsi="宋体" w:eastAsia="宋体"/>
                <w:b w:val="0"/>
                <w:sz w:val="21"/>
              </w:rPr>
              <w:t>）</w:t>
            </w:r>
          </w:p>
        </w:tc>
      </w:tr>
      <w:tr w14:paraId="32EED3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4CBDE3F0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OCR 调用与容错</w:t>
            </w:r>
          </w:p>
        </w:tc>
        <w:tc>
          <w:tcPr>
            <w:tcW w:w="4323" w:type="dxa"/>
          </w:tcPr>
          <w:p w14:paraId="488117F9">
            <w:pPr>
              <w:spacing w:before="20" w:after="20" w:line="276" w:lineRule="auto"/>
              <w:ind w:firstLine="0"/>
            </w:pPr>
            <w:r>
              <w:rPr>
                <w:rFonts w:ascii="等线" w:hAnsi="等线" w:eastAsia="等线"/>
                <w:b w:val="0"/>
                <w:sz w:val="19"/>
              </w:rPr>
              <w:t>js/app.js</w:t>
            </w:r>
            <w:r>
              <w:rPr>
                <w:rFonts w:ascii="宋体" w:hAnsi="宋体" w:eastAsia="宋体"/>
                <w:b w:val="0"/>
                <w:sz w:val="21"/>
              </w:rPr>
              <w:t>（</w:t>
            </w:r>
            <w:r>
              <w:rPr>
                <w:rFonts w:ascii="等线" w:hAnsi="等线" w:eastAsia="等线"/>
                <w:b w:val="0"/>
                <w:sz w:val="19"/>
              </w:rPr>
              <w:t>callZhipuOcr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/ </w:t>
            </w:r>
            <w:r>
              <w:rPr>
                <w:rFonts w:ascii="等线" w:hAnsi="等线" w:eastAsia="等线"/>
                <w:b w:val="0"/>
                <w:sz w:val="19"/>
              </w:rPr>
              <w:t>parseOcrJson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/ </w:t>
            </w:r>
            <w:r>
              <w:rPr>
                <w:rFonts w:ascii="等线" w:hAnsi="等线" w:eastAsia="等线"/>
                <w:b w:val="0"/>
                <w:sz w:val="19"/>
              </w:rPr>
              <w:t>fillOcrFields</w:t>
            </w:r>
            <w:r>
              <w:rPr>
                <w:rFonts w:ascii="宋体" w:hAnsi="宋体" w:eastAsia="宋体"/>
                <w:b w:val="0"/>
                <w:sz w:val="21"/>
              </w:rPr>
              <w:t>）</w:t>
            </w:r>
          </w:p>
        </w:tc>
      </w:tr>
      <w:tr w14:paraId="031CFD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09F49AAF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自测用例</w:t>
            </w:r>
          </w:p>
        </w:tc>
        <w:tc>
          <w:tcPr>
            <w:tcW w:w="4323" w:type="dxa"/>
          </w:tcPr>
          <w:p w14:paraId="36DE8F94">
            <w:pPr>
              <w:spacing w:before="20" w:after="20" w:line="276" w:lineRule="auto"/>
              <w:ind w:firstLine="0"/>
            </w:pPr>
            <w:r>
              <w:rPr>
                <w:rFonts w:ascii="等线" w:hAnsi="等线" w:eastAsia="等线"/>
                <w:b w:val="0"/>
                <w:sz w:val="19"/>
              </w:rPr>
              <w:t>tests/selftest_engine.js</w:t>
            </w:r>
          </w:p>
        </w:tc>
      </w:tr>
      <w:tr w14:paraId="58C576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00BEFBD1">
            <w:pPr>
              <w:spacing w:before="20" w:after="20" w:line="276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AI 协作证据</w:t>
            </w:r>
          </w:p>
        </w:tc>
        <w:tc>
          <w:tcPr>
            <w:tcW w:w="4323" w:type="dxa"/>
          </w:tcPr>
          <w:p w14:paraId="0DCB1797">
            <w:pPr>
              <w:spacing w:before="20" w:after="20" w:line="276" w:lineRule="auto"/>
              <w:ind w:firstLine="0"/>
            </w:pPr>
            <w:r>
              <w:rPr>
                <w:rFonts w:ascii="等线" w:hAnsi="等线" w:eastAsia="等线"/>
                <w:b w:val="0"/>
                <w:sz w:val="19"/>
              </w:rPr>
              <w:t>docs/开发日志_AI协作证据.md</w:t>
            </w:r>
          </w:p>
        </w:tc>
      </w:tr>
    </w:tbl>
    <w:p w14:paraId="7C53E1B5">
      <w:pPr>
        <w:spacing w:after="40"/>
      </w:pPr>
    </w:p>
    <w:p w14:paraId="25ECD1B0">
      <w:pPr>
        <w:spacing w:before="0" w:after="60" w:line="360" w:lineRule="auto"/>
        <w:ind w:firstLine="480"/>
      </w:pPr>
      <w:r>
        <w:rPr>
          <w:rFonts w:ascii="宋体" w:hAnsi="宋体" w:eastAsia="宋体"/>
          <w:b w:val="0"/>
          <w:sz w:val="24"/>
        </w:rPr>
        <w:t>*本文档所述能力边界、数据口径与红线，与《材料清单》第五条保持一致；如有冲突，以材料清单为准。*</w:t>
      </w:r>
    </w:p>
    <w:sectPr>
      <w:pgSz w:w="12240" w:h="15840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Eran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ＭＳ 明朝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Eran">
    <w:panose1 w:val="02000609000000000000"/>
    <w:charset w:val="80"/>
    <w:family w:val="auto"/>
    <w:pitch w:val="default"/>
    <w:sig w:usb0="A00002BF" w:usb1="68C7FCFB" w:usb2="00000000" w:usb3="00000000" w:csb0="4002000F" w:csb1="D2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DD93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360" w:lineRule="auto"/>
      <w:ind w:firstLine="480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349</Words>
  <Characters>392</Characters>
  <Lines>0</Lines>
  <Paragraphs>0</Paragraphs>
  <TotalTime>2</TotalTime>
  <ScaleCrop>false</ScaleCrop>
  <LinksUpToDate>false</LinksUpToDate>
  <CharactersWithSpaces>429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李政轩</cp:lastModifiedBy>
  <dcterms:modified xsi:type="dcterms:W3CDTF">2026-10-25T07:31:32Z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eyJoZGlkIjoiYmIzOWRkZGIzYjY2MjQ4YjEyYWZjMDI5OWI1OGMxZjkiLCJ1c2VySWQiOiIxNzkxMDI2NzU3In0=</vt:lpwstr>
  </property>
  <property fmtid="{D5CDD505-2E9C-101B-9397-08002B2CF9AE}" pid="3" name="KSOProductBuildVer">
    <vt:lpwstr>2052-12.1.0.26895</vt:lpwstr>
  </property>
  <property fmtid="{D5CDD505-2E9C-101B-9397-08002B2CF9AE}" pid="4" name="ICV">
    <vt:lpwstr>DA2D70BE99E3436DB7EF29299C7C6B1E_12</vt:lpwstr>
  </property>
</Properties>
</file>