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90E18">
      <w:pPr>
        <w:jc w:val="center"/>
        <w:rPr>
          <w:rFonts w:ascii="黑体" w:hAnsi="黑体" w:eastAsia="黑体"/>
          <w:b/>
          <w:sz w:val="52"/>
        </w:rPr>
      </w:pPr>
    </w:p>
    <w:p w14:paraId="37D5FBC2">
      <w:pPr>
        <w:jc w:val="center"/>
        <w:rPr>
          <w:rFonts w:ascii="黑体" w:hAnsi="黑体" w:eastAsia="黑体"/>
          <w:b/>
          <w:sz w:val="52"/>
        </w:rPr>
      </w:pPr>
    </w:p>
    <w:p w14:paraId="4105EA0A">
      <w:pPr>
        <w:jc w:val="center"/>
        <w:rPr>
          <w:rFonts w:ascii="黑体" w:hAnsi="黑体" w:eastAsia="黑体"/>
          <w:b/>
          <w:sz w:val="52"/>
        </w:rPr>
      </w:pPr>
    </w:p>
    <w:p w14:paraId="4EB448B9">
      <w:pPr>
        <w:jc w:val="center"/>
        <w:rPr>
          <w:rFonts w:ascii="黑体" w:hAnsi="黑体" w:eastAsia="黑体"/>
          <w:b/>
          <w:sz w:val="52"/>
        </w:rPr>
      </w:pPr>
    </w:p>
    <w:p w14:paraId="6E71286A">
      <w:pPr>
        <w:jc w:val="center"/>
        <w:rPr>
          <w:rFonts w:ascii="黑体" w:hAnsi="黑体" w:eastAsia="黑体"/>
          <w:b/>
          <w:sz w:val="52"/>
        </w:rPr>
      </w:pPr>
    </w:p>
    <w:p w14:paraId="07C733FD">
      <w:pPr>
        <w:jc w:val="center"/>
      </w:pPr>
      <w:r>
        <w:rPr>
          <w:rFonts w:ascii="黑体" w:hAnsi="黑体" w:eastAsia="黑体"/>
          <w:b/>
          <w:sz w:val="52"/>
        </w:rPr>
        <w:t>AI 应用说明</w:t>
      </w:r>
    </w:p>
    <w:p w14:paraId="3625F69F">
      <w:pPr>
        <w:spacing w:before="600"/>
        <w:jc w:val="center"/>
      </w:pPr>
      <w:r>
        <w:rPr>
          <w:rFonts w:ascii="宋体" w:hAnsi="宋体" w:eastAsia="宋体"/>
          <w:b w:val="0"/>
          <w:sz w:val="28"/>
        </w:rPr>
        <w:t>2026 山东省首届大学生 AI 大模型创新传播大赛 · 赛道三</w:t>
      </w:r>
    </w:p>
    <w:p w14:paraId="1F6B21C4">
      <w:pPr>
        <w:spacing w:before="160"/>
        <w:jc w:val="center"/>
      </w:pPr>
      <w:r>
        <w:rPr>
          <w:rFonts w:ascii="宋体" w:hAnsi="宋体" w:eastAsia="宋体"/>
          <w:b w:val="0"/>
          <w:sz w:val="28"/>
        </w:rPr>
        <w:t>参赛团队：</w:t>
      </w:r>
      <w:r>
        <w:rPr>
          <w:rFonts w:ascii="宋体" w:hAnsi="宋体" w:eastAsia="宋体"/>
          <w:b w:val="0"/>
          <w:sz w:val="28"/>
          <w:u w:val="single"/>
        </w:rPr>
        <w:t>___</w:t>
      </w:r>
      <w:r>
        <w:rPr>
          <w:rFonts w:hint="eastAsia"/>
          <w:b w:val="0"/>
          <w:sz w:val="28"/>
          <w:u w:val="single"/>
          <w:lang w:val="en-US" w:eastAsia="zh-CN"/>
        </w:rPr>
        <w:t>先检后播</w:t>
      </w:r>
      <w:r>
        <w:rPr>
          <w:rFonts w:ascii="宋体" w:hAnsi="宋体" w:eastAsia="宋体"/>
          <w:b w:val="0"/>
          <w:sz w:val="28"/>
          <w:u w:val="single"/>
        </w:rPr>
        <w:t>___</w:t>
      </w:r>
      <w:r>
        <w:rPr>
          <w:rFonts w:ascii="宋体" w:hAnsi="宋体" w:eastAsia="宋体"/>
          <w:b w:val="0"/>
          <w:sz w:val="28"/>
        </w:rPr>
        <w:t>　　学校：</w:t>
      </w:r>
      <w:bookmarkStart w:id="0" w:name="_GoBack"/>
      <w:bookmarkEnd w:id="0"/>
      <w:r>
        <w:rPr>
          <w:rFonts w:ascii="宋体" w:hAnsi="宋体" w:eastAsia="宋体"/>
          <w:b w:val="0"/>
          <w:sz w:val="28"/>
          <w:u w:val="single"/>
        </w:rPr>
        <w:t>_</w:t>
      </w:r>
      <w:r>
        <w:rPr>
          <w:rFonts w:hint="eastAsia"/>
          <w:b w:val="0"/>
          <w:sz w:val="28"/>
          <w:u w:val="single"/>
          <w:lang w:val="en-US" w:eastAsia="zh-CN"/>
        </w:rPr>
        <w:t>山东农业工程学院</w:t>
      </w:r>
      <w:r>
        <w:rPr>
          <w:rFonts w:ascii="宋体" w:hAnsi="宋体" w:eastAsia="宋体"/>
          <w:b w:val="0"/>
          <w:sz w:val="28"/>
          <w:u w:val="single"/>
        </w:rPr>
        <w:t>___</w:t>
      </w:r>
    </w:p>
    <w:p w14:paraId="368EEF12">
      <w:pPr>
        <w:spacing w:before="160"/>
        <w:jc w:val="center"/>
      </w:pPr>
      <w:r>
        <w:rPr>
          <w:rFonts w:ascii="宋体" w:hAnsi="宋体" w:eastAsia="宋体"/>
          <w:b w:val="0"/>
          <w:sz w:val="28"/>
        </w:rPr>
        <w:t>2026 年 10 月</w:t>
      </w:r>
    </w:p>
    <w:p w14:paraId="217AF235">
      <w:r>
        <w:br w:type="page"/>
      </w:r>
    </w:p>
    <w:p w14:paraId="668E52F2">
      <w:pPr>
        <w:spacing w:after="60" w:line="360" w:lineRule="auto"/>
        <w:ind w:firstLine="480"/>
      </w:pPr>
      <w:r>
        <w:rPr>
          <w:rFonts w:ascii="宋体" w:hAnsi="宋体" w:eastAsia="宋体"/>
          <w:b/>
          <w:sz w:val="24"/>
        </w:rPr>
        <w:t>作品名称</w:t>
      </w:r>
      <w:r>
        <w:rPr>
          <w:rFonts w:ascii="宋体" w:hAnsi="宋体" w:eastAsia="宋体"/>
          <w:b w:val="0"/>
          <w:sz w:val="24"/>
        </w:rPr>
        <w:t>：上播前·选品体检（直播营销选品合规决策工具）</w:t>
      </w:r>
    </w:p>
    <w:p w14:paraId="7E682EE6">
      <w:pPr>
        <w:spacing w:after="60" w:line="360" w:lineRule="auto"/>
        <w:ind w:firstLine="480"/>
      </w:pPr>
      <w:r>
        <w:rPr>
          <w:rFonts w:ascii="宋体" w:hAnsi="宋体" w:eastAsia="宋体"/>
          <w:b/>
          <w:sz w:val="24"/>
        </w:rPr>
        <w:t>参赛赛道</w:t>
      </w:r>
      <w:r>
        <w:rPr>
          <w:rFonts w:ascii="宋体" w:hAnsi="宋体" w:eastAsia="宋体"/>
          <w:b w:val="0"/>
          <w:sz w:val="24"/>
        </w:rPr>
        <w:t>：2026 山东省首届大学生 AI 大模型创新传播大赛 · 赛道三（AI 传播工具创新）</w:t>
      </w:r>
    </w:p>
    <w:p w14:paraId="136865E3">
      <w:pPr>
        <w:spacing w:after="60" w:line="360" w:lineRule="auto"/>
        <w:ind w:firstLine="480"/>
      </w:pPr>
      <w:r>
        <w:rPr>
          <w:rFonts w:ascii="宋体" w:hAnsi="宋体" w:eastAsia="宋体"/>
          <w:b/>
          <w:sz w:val="24"/>
        </w:rPr>
        <w:t>团队 / 学校：先检后播/山东农业工程学院　日期：2026-10-25</w:t>
      </w:r>
      <w:r>
        <w:rPr>
          <w:rFonts w:ascii="宋体" w:hAnsi="宋体" w:eastAsia="宋体"/>
          <w:b w:val="0"/>
          <w:sz w:val="24"/>
        </w:rPr>
      </w:r>
      <w:r>
        <w:rPr>
          <w:rFonts w:hint="eastAsia"/>
          <w:b w:val="0"/>
          <w:sz w:val="24"/>
          <w:lang w:val="en-US" w:eastAsia="zh-CN"/>
        </w:rPr>
      </w:r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/>
          <w:sz w:val="24"/>
        </w:rPr>
      </w:r>
      <w:r>
        <w:rPr>
          <w:rFonts w:ascii="宋体" w:hAnsi="宋体" w:eastAsia="宋体"/>
          <w:b w:val="0"/>
          <w:sz w:val="24"/>
        </w:rPr>
      </w:r>
    </w:p>
    <w:p w14:paraId="4AA10B59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一、说明</w:t>
      </w:r>
    </w:p>
    <w:p w14:paraId="214B80A9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本作品的</w:t>
      </w:r>
      <w:r>
        <w:rPr>
          <w:rFonts w:ascii="宋体" w:hAnsi="宋体" w:eastAsia="宋体"/>
          <w:b/>
          <w:sz w:val="24"/>
        </w:rPr>
        <w:t>全部代码由 AI 辅助生成</w:t>
      </w:r>
      <w:r>
        <w:rPr>
          <w:rFonts w:ascii="宋体" w:hAnsi="宋体" w:eastAsia="宋体"/>
          <w:b w:val="0"/>
          <w:sz w:val="24"/>
        </w:rPr>
        <w:t>，规则库、案例与文档由 AI 起草、由人审定；而</w:t>
      </w:r>
      <w:r>
        <w:rPr>
          <w:rFonts w:ascii="宋体" w:hAnsi="宋体" w:eastAsia="宋体"/>
          <w:b/>
          <w:sz w:val="24"/>
        </w:rPr>
        <w:t>所有涉及法规结论、责任归属与判定口径的决策，均由人做出并留痕</w:t>
      </w:r>
      <w:r>
        <w:rPr>
          <w:rFonts w:ascii="宋体" w:hAnsi="宋体" w:eastAsia="宋体"/>
          <w:b w:val="0"/>
          <w:sz w:val="24"/>
        </w:rPr>
        <w:t>。AI 在这里是"高效执行者 + 初稿提供者"，不是"结论发布者"。</w:t>
      </w:r>
    </w:p>
    <w:p w14:paraId="77132AFC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二、AI 在哪些环节承担了工作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236"/>
        <w:gridCol w:w="2161"/>
      </w:tblGrid>
      <w:tr w14:paraId="17B6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D4F63F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环节</w:t>
            </w:r>
          </w:p>
        </w:tc>
        <w:tc>
          <w:tcPr>
            <w:tcW w:w="2161" w:type="dxa"/>
          </w:tcPr>
          <w:p w14:paraId="17AB9C3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AI 具体承担</w:t>
            </w:r>
          </w:p>
        </w:tc>
        <w:tc>
          <w:tcPr>
            <w:tcW w:w="2161" w:type="dxa"/>
          </w:tcPr>
          <w:p w14:paraId="747DA3A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产出</w:t>
            </w:r>
          </w:p>
        </w:tc>
        <w:tc>
          <w:tcPr>
            <w:tcW w:w="2161" w:type="dxa"/>
          </w:tcPr>
          <w:p w14:paraId="490477A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证据位置</w:t>
            </w:r>
          </w:p>
        </w:tc>
      </w:tr>
      <w:tr w14:paraId="33E4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65F30F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场景与竞品</w:t>
            </w:r>
          </w:p>
        </w:tc>
        <w:tc>
          <w:tcPr>
            <w:tcW w:w="2161" w:type="dxa"/>
          </w:tcPr>
          <w:p w14:paraId="296E271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全网检索同类工具，分析同质化风险，提出"分级判定 + 人工签字 + 可溯源导出"的差异化定位</w:t>
            </w:r>
          </w:p>
        </w:tc>
        <w:tc>
          <w:tcPr>
            <w:tcW w:w="2161" w:type="dxa"/>
          </w:tcPr>
          <w:p w14:paraId="1B7C220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竞品结论、定位调整</w:t>
            </w:r>
          </w:p>
        </w:tc>
        <w:tc>
          <w:tcPr>
            <w:tcW w:w="2161" w:type="dxa"/>
          </w:tcPr>
          <w:p w14:paraId="16E4D3E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前期调研（定稿见《项目交接文档》）</w:t>
            </w:r>
          </w:p>
        </w:tc>
      </w:tr>
      <w:tr w14:paraId="6081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21B2A5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规则库起草</w:t>
            </w:r>
          </w:p>
        </w:tc>
        <w:tc>
          <w:tcPr>
            <w:tcW w:w="2161" w:type="dxa"/>
          </w:tcPr>
          <w:p w14:paraId="4C48ABA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按品类整理规则的结构化字段：触发条件、等级、依据、风险说明、整改动作（D3 起草 20 条，第三轮整改新增 R-NC-003，现为 21 条）</w:t>
            </w:r>
          </w:p>
        </w:tc>
        <w:tc>
          <w:tcPr>
            <w:tcW w:w="2161" w:type="dxa"/>
          </w:tcPr>
          <w:p w14:paraId="11DE7D28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data/rules.json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等线" w:hAnsi="等线" w:eastAsia="等线"/>
                <w:b w:val="0"/>
                <w:sz w:val="19"/>
              </w:rPr>
              <w:t>js/rules-data.js</w:t>
            </w:r>
          </w:p>
        </w:tc>
        <w:tc>
          <w:tcPr>
            <w:tcW w:w="2161" w:type="dxa"/>
          </w:tcPr>
          <w:p w14:paraId="12883EC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 D3</w:t>
            </w:r>
          </w:p>
        </w:tc>
      </w:tr>
      <w:tr w14:paraId="447B5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3106FA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前端编码</w:t>
            </w:r>
          </w:p>
        </w:tc>
        <w:tc>
          <w:tcPr>
            <w:tcW w:w="2161" w:type="dxa"/>
          </w:tcPr>
          <w:p w14:paraId="5D8E92E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生成六步流程、动态表单、四态判定、人工审核台、档案导出、整改单、OCR 通道、演示模式、隐私页；共约 2100 行 HTML/JS（另有约 1200 行样式）</w:t>
            </w:r>
          </w:p>
        </w:tc>
        <w:tc>
          <w:tcPr>
            <w:tcW w:w="2161" w:type="dxa"/>
          </w:tcPr>
          <w:p w14:paraId="17D1FD20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index.html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等线" w:hAnsi="等线" w:eastAsia="等线"/>
                <w:b w:val="0"/>
                <w:sz w:val="19"/>
              </w:rPr>
              <w:t>js/*.js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等线" w:hAnsi="等线" w:eastAsia="等线"/>
                <w:b w:val="0"/>
                <w:sz w:val="19"/>
              </w:rPr>
              <w:t>styles/main.css</w:t>
            </w:r>
          </w:p>
        </w:tc>
        <w:tc>
          <w:tcPr>
            <w:tcW w:w="2161" w:type="dxa"/>
          </w:tcPr>
          <w:p w14:paraId="71A7B41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 D1–D10</w:t>
            </w:r>
          </w:p>
        </w:tc>
      </w:tr>
      <w:tr w14:paraId="2DA1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BDF4B2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算法实现</w:t>
            </w:r>
          </w:p>
        </w:tc>
        <w:tc>
          <w:tcPr>
            <w:tcW w:w="2161" w:type="dxa"/>
          </w:tcPr>
          <w:p w14:paraId="1CA114C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实现 GB 32100 校验位实算、SC 结构校验、临期判断、报告实体比对（归一化后严格相等、空值跳过）</w:t>
            </w:r>
          </w:p>
        </w:tc>
        <w:tc>
          <w:tcPr>
            <w:tcW w:w="2161" w:type="dxa"/>
          </w:tcPr>
          <w:p w14:paraId="6C311300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等线" w:hAnsi="等线" w:eastAsia="等线"/>
                <w:b w:val="0"/>
                <w:sz w:val="19"/>
              </w:rPr>
              <w:t>js/engine.js</w:t>
            </w:r>
          </w:p>
        </w:tc>
        <w:tc>
          <w:tcPr>
            <w:tcW w:w="2161" w:type="dxa"/>
          </w:tcPr>
          <w:p w14:paraId="20845D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 D3、D14</w:t>
            </w:r>
          </w:p>
        </w:tc>
      </w:tr>
      <w:tr w14:paraId="503C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EF2240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案例设计</w:t>
            </w:r>
          </w:p>
        </w:tc>
        <w:tc>
          <w:tcPr>
            <w:tcW w:w="2161" w:type="dxa"/>
          </w:tcPr>
          <w:p w14:paraId="3482966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设计绿/黄/红/灰四态案例，脚本驱动全链路执行，采集真实输出并截图留证</w:t>
            </w:r>
          </w:p>
        </w:tc>
        <w:tc>
          <w:tcPr>
            <w:tcW w:w="2161" w:type="dxa"/>
          </w:tcPr>
          <w:p w14:paraId="0834205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三组案例文档 + 6 张截图</w:t>
            </w:r>
          </w:p>
        </w:tc>
        <w:tc>
          <w:tcPr>
            <w:tcW w:w="2161" w:type="dxa"/>
          </w:tcPr>
          <w:p w14:paraId="6A555E2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 D11–D14</w:t>
            </w:r>
          </w:p>
        </w:tc>
      </w:tr>
      <w:tr w14:paraId="7BE6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70B919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2161" w:type="dxa"/>
          </w:tcPr>
          <w:p w14:paraId="728A135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编写 48 条自测用例（含反向断言防误判）、执行联调回归、定位缺陷</w:t>
            </w:r>
          </w:p>
        </w:tc>
        <w:tc>
          <w:tcPr>
            <w:tcW w:w="2161" w:type="dxa"/>
          </w:tcPr>
          <w:p w14:paraId="6FC4521E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tests/selftest_engine.js</w:t>
            </w:r>
            <w:r>
              <w:rPr>
                <w:rFonts w:ascii="宋体" w:hAnsi="宋体" w:eastAsia="宋体"/>
                <w:b w:val="0"/>
                <w:sz w:val="21"/>
              </w:rPr>
              <w:t>、自测报告</w:t>
            </w:r>
          </w:p>
        </w:tc>
        <w:tc>
          <w:tcPr>
            <w:tcW w:w="2161" w:type="dxa"/>
          </w:tcPr>
          <w:p w14:paraId="328BB57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 D15</w:t>
            </w:r>
          </w:p>
        </w:tc>
      </w:tr>
      <w:tr w14:paraId="0D2B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BAB189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</w:t>
            </w:r>
          </w:p>
        </w:tc>
        <w:tc>
          <w:tcPr>
            <w:tcW w:w="2161" w:type="dxa"/>
          </w:tcPr>
          <w:p w14:paraId="68A7455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起草技术说明、案例档案、材料清单与本文</w:t>
            </w:r>
          </w:p>
        </w:tc>
        <w:tc>
          <w:tcPr>
            <w:tcW w:w="2161" w:type="dxa"/>
          </w:tcPr>
          <w:p w14:paraId="0B3B59F9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docs/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各文档</w:t>
            </w:r>
          </w:p>
        </w:tc>
        <w:tc>
          <w:tcPr>
            <w:tcW w:w="2161" w:type="dxa"/>
          </w:tcPr>
          <w:p w14:paraId="29823A8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开发日志全程</w:t>
            </w:r>
          </w:p>
        </w:tc>
      </w:tr>
    </w:tbl>
    <w:p w14:paraId="5C627690">
      <w:pPr>
        <w:spacing w:after="40"/>
        <w:ind w:left="0" w:leftChars="0" w:firstLine="0" w:firstLineChars="0"/>
      </w:pPr>
    </w:p>
    <w:p w14:paraId="038A3117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三、AI 没有做什么（能力边界）</w:t>
      </w:r>
    </w:p>
    <w:p w14:paraId="6A93C6E5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不生成法条</w:t>
      </w:r>
      <w:r>
        <w:rPr>
          <w:rFonts w:ascii="宋体" w:hAnsi="宋体" w:eastAsia="宋体"/>
          <w:b w:val="0"/>
          <w:sz w:val="24"/>
        </w:rPr>
        <w:t>：所有法规依据来自人工编审的规则库；条款号未核对完的一律标【待核对】。</w:t>
      </w:r>
    </w:p>
    <w:p w14:paraId="76BC68EA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不替人下结论</w:t>
      </w:r>
      <w:r>
        <w:rPr>
          <w:rFonts w:ascii="宋体" w:hAnsi="宋体" w:eastAsia="宋体"/>
          <w:b w:val="0"/>
          <w:sz w:val="24"/>
        </w:rPr>
        <w:t>：工具只输出判定提示，必须经审核人逐条裁决并签字后才写入档案。</w:t>
      </w:r>
    </w:p>
    <w:p w14:paraId="01DB03A0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不做联网验真</w:t>
      </w:r>
      <w:r>
        <w:rPr>
          <w:rFonts w:ascii="宋体" w:hAnsi="宋体" w:eastAsia="宋体"/>
          <w:b w:val="0"/>
          <w:sz w:val="24"/>
        </w:rPr>
        <w:t>：统一社会信用代码只做校验位本地实算，SC 号只校结构，不查库、不声称"验真"。</w:t>
      </w:r>
    </w:p>
    <w:p w14:paraId="6823048E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不伪装能力</w:t>
      </w:r>
      <w:r>
        <w:rPr>
          <w:rFonts w:ascii="宋体" w:hAnsi="宋体" w:eastAsia="宋体"/>
          <w:b w:val="0"/>
          <w:sz w:val="24"/>
        </w:rPr>
        <w:t>：报告比对只识别"报告与申报品不匹配"，不宣称能鉴定报告真伪。</w:t>
      </w:r>
    </w:p>
    <w:p w14:paraId="2D5AA3D2">
      <w:pPr>
        <w:spacing w:after="40" w:line="360" w:lineRule="auto"/>
        <w:ind w:left="480" w:firstLine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不自动做语义判定</w:t>
      </w:r>
      <w:r>
        <w:rPr>
          <w:rFonts w:ascii="宋体" w:hAnsi="宋体" w:eastAsia="宋体"/>
          <w:b w:val="0"/>
          <w:sz w:val="24"/>
        </w:rPr>
        <w:t>：产品内预留的 AI 语义轨道只提示、不判定，避免不可复核的判断影响结论。</w:t>
      </w:r>
    </w:p>
    <w:p w14:paraId="3F465288">
      <w:pPr>
        <w:spacing w:after="40" w:line="360" w:lineRule="auto"/>
        <w:ind w:left="480" w:firstLine="0"/>
        <w:rPr>
          <w:rFonts w:ascii="宋体" w:hAnsi="宋体" w:eastAsia="宋体"/>
          <w:b w:val="0"/>
          <w:sz w:val="24"/>
        </w:rPr>
      </w:pPr>
    </w:p>
    <w:p w14:paraId="3EDDEFC7">
      <w:pPr>
        <w:spacing w:after="40" w:line="360" w:lineRule="auto"/>
        <w:ind w:left="480" w:firstLine="0"/>
        <w:rPr>
          <w:rFonts w:hint="eastAsia" w:ascii="宋体" w:hAnsi="宋体" w:eastAsia="宋体"/>
          <w:b w:val="0"/>
          <w:sz w:val="24"/>
          <w:lang w:val="en-US" w:eastAsia="zh-CN"/>
        </w:rPr>
      </w:pPr>
    </w:p>
    <w:p w14:paraId="70BE2324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四、人如何把关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E5E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38644A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把关机制</w:t>
            </w:r>
          </w:p>
        </w:tc>
        <w:tc>
          <w:tcPr>
            <w:tcW w:w="4323" w:type="dxa"/>
          </w:tcPr>
          <w:p w14:paraId="120FB87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具体做法</w:t>
            </w:r>
          </w:p>
        </w:tc>
      </w:tr>
      <w:tr w14:paraId="65CA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103481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阶段验收</w:t>
            </w:r>
          </w:p>
        </w:tc>
        <w:tc>
          <w:tcPr>
            <w:tcW w:w="4323" w:type="dxa"/>
          </w:tcPr>
          <w:p w14:paraId="59C5D0A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每个开发单元（D1–D15）设验收标准，人实跑通过后才进入下一步</w:t>
            </w:r>
          </w:p>
        </w:tc>
      </w:tr>
      <w:tr w14:paraId="37E6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1588C2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红线前置</w:t>
            </w:r>
          </w:p>
        </w:tc>
        <w:tc>
          <w:tcPr>
            <w:tcW w:w="4323" w:type="dxa"/>
          </w:tcPr>
          <w:p w14:paraId="4367C54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开发前即确定"AI 不生成法条""不误杀""不声称联网验真"三条硬约束，贯穿设计与文案</w:t>
            </w:r>
          </w:p>
        </w:tc>
      </w:tr>
      <w:tr w14:paraId="748F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E5CCEE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口径决策</w:t>
            </w:r>
          </w:p>
        </w:tc>
        <w:tc>
          <w:tcPr>
            <w:tcW w:w="4323" w:type="dxa"/>
          </w:tcPr>
          <w:p w14:paraId="5F987A1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案例是否用真实企业名，由人决定采用"主体匿名 + 证号标注为演示虚构值"方案</w:t>
            </w:r>
          </w:p>
        </w:tc>
      </w:tr>
      <w:tr w14:paraId="5670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37423A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事实复核</w:t>
            </w:r>
          </w:p>
        </w:tc>
        <w:tc>
          <w:tcPr>
            <w:tcW w:w="4323" w:type="dxa"/>
          </w:tcPr>
          <w:p w14:paraId="703B7E1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对 AI 生成的内容逐条比对代码实际行为；发现不符即更正（如 OCR 是否覆盖已填字段）</w:t>
            </w:r>
          </w:p>
        </w:tc>
      </w:tr>
      <w:tr w14:paraId="348A8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C3284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结果复核</w:t>
            </w:r>
          </w:p>
        </w:tc>
        <w:tc>
          <w:tcPr>
            <w:tcW w:w="4323" w:type="dxa"/>
          </w:tcPr>
          <w:p w14:paraId="51F2F14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判定结果用 48 条自测 + 浏览器实测双重验证，不采信"AI 自称正确"</w:t>
            </w:r>
          </w:p>
        </w:tc>
      </w:tr>
    </w:tbl>
    <w:p w14:paraId="407D7AB5">
      <w:pPr>
        <w:spacing w:after="40"/>
      </w:pPr>
    </w:p>
    <w:p w14:paraId="1E3285B3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五、AI 也会出错：五个被真实抓出的缺陷</w:t>
      </w:r>
    </w:p>
    <w:p w14:paraId="097E2AF0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把 AI 当成"会犯错的合作者"，才可能用好它。开发过程中，AI 生成的内容经人验收或测试发现并修复了以下问题：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62B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E3373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阶段</w:t>
            </w:r>
          </w:p>
        </w:tc>
        <w:tc>
          <w:tcPr>
            <w:tcW w:w="2882" w:type="dxa"/>
          </w:tcPr>
          <w:p w14:paraId="19CF5AD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缺陷</w:t>
            </w:r>
          </w:p>
        </w:tc>
        <w:tc>
          <w:tcPr>
            <w:tcW w:w="2882" w:type="dxa"/>
          </w:tcPr>
          <w:p w14:paraId="04C2CD9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修复</w:t>
            </w:r>
          </w:p>
        </w:tc>
      </w:tr>
      <w:tr w14:paraId="0628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21457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w="2882" w:type="dxa"/>
          </w:tcPr>
          <w:p w14:paraId="3C4B572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演示用统一社会信用代码误含非法字符 </w:t>
            </w:r>
            <w:r>
              <w:rPr>
                <w:rFonts w:ascii="等线" w:hAnsi="等线" w:eastAsia="等线"/>
                <w:b w:val="0"/>
                <w:sz w:val="19"/>
              </w:rPr>
              <w:t>O</w:t>
            </w:r>
            <w:r>
              <w:rPr>
                <w:rFonts w:ascii="宋体" w:hAnsi="宋体" w:eastAsia="宋体"/>
                <w:b w:val="0"/>
                <w:sz w:val="21"/>
              </w:rPr>
              <w:t>（GB 32100 字符集不含 O）</w:t>
            </w:r>
          </w:p>
        </w:tc>
        <w:tc>
          <w:tcPr>
            <w:tcW w:w="2882" w:type="dxa"/>
          </w:tcPr>
          <w:p w14:paraId="78E8A2A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改用合法字符前缀重算校验位，回喂校验器验证通过</w:t>
            </w:r>
          </w:p>
        </w:tc>
      </w:tr>
      <w:tr w14:paraId="6C99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092A8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D4/D5</w:t>
            </w:r>
          </w:p>
        </w:tc>
        <w:tc>
          <w:tcPr>
            <w:tcW w:w="2882" w:type="dxa"/>
          </w:tcPr>
          <w:p w14:paraId="1F4CBF1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空字段被当作违规；绿态但关键字段缺失仍判"可播"</w:t>
            </w:r>
          </w:p>
        </w:tc>
        <w:tc>
          <w:tcPr>
            <w:tcW w:w="2882" w:type="dxa"/>
          </w:tcPr>
          <w:p w14:paraId="3F30DFF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空值不判违规；绿 + 缺字段升级为灰·信息不足</w:t>
            </w:r>
          </w:p>
        </w:tc>
      </w:tr>
      <w:tr w14:paraId="29DE9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B1E04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D11</w:t>
            </w:r>
          </w:p>
        </w:tc>
        <w:tc>
          <w:tcPr>
            <w:tcW w:w="2882" w:type="dxa"/>
          </w:tcPr>
          <w:p w14:paraId="513ADD3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换商品未重新审核，导出档案却仍是上一商品</w:t>
            </w:r>
          </w:p>
        </w:tc>
        <w:tc>
          <w:tcPr>
            <w:tcW w:w="2882" w:type="dxa"/>
          </w:tcPr>
          <w:p w14:paraId="1F14593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档案导出增加一致性校验提示</w:t>
            </w:r>
          </w:p>
        </w:tc>
      </w:tr>
      <w:tr w14:paraId="772E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8E133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D12</w:t>
            </w:r>
          </w:p>
        </w:tc>
        <w:tc>
          <w:tcPr>
            <w:tcW w:w="2882" w:type="dxa"/>
          </w:tcPr>
          <w:p w14:paraId="4B547C5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档案表格混入内部技术键（</w:t>
            </w:r>
            <w:r>
              <w:rPr>
                <w:rFonts w:ascii="等线" w:hAnsi="等线" w:eastAsia="等线"/>
                <w:b w:val="0"/>
                <w:sz w:val="19"/>
              </w:rPr>
              <w:t>type/subject/platform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2882" w:type="dxa"/>
          </w:tcPr>
          <w:p w14:paraId="1309BF8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过滤内部分流字段，只在分流段以中文展示</w:t>
            </w:r>
          </w:p>
        </w:tc>
      </w:tr>
      <w:tr w14:paraId="7338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A648D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D14</w:t>
            </w:r>
          </w:p>
        </w:tc>
        <w:tc>
          <w:tcPr>
            <w:tcW w:w="2882" w:type="dxa"/>
          </w:tcPr>
          <w:p w14:paraId="1A4A6B6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报告产品名带括号补充说明可能被误判为不符</w:t>
            </w:r>
          </w:p>
        </w:tc>
        <w:tc>
          <w:tcPr>
            <w:tcW w:w="2882" w:type="dxa"/>
          </w:tcPr>
          <w:p w14:paraId="3B8B77B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归一化去括号补充说明后再比对</w:t>
            </w:r>
          </w:p>
        </w:tc>
      </w:tr>
    </w:tbl>
    <w:p w14:paraId="5D92F2AC">
      <w:pPr>
        <w:spacing w:after="40"/>
      </w:pPr>
    </w:p>
    <w:p w14:paraId="6C429B58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这些修正全部记录在《开发日志_AI协作证据.md》，构成本作品"人机协作"最直接的证据——不是"AI 一次写对"，而是"AI 生成、人发现、共同修正"。</w:t>
      </w:r>
    </w:p>
    <w:p w14:paraId="1DDB0B6B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六、AI 带来了什么变化</w:t>
      </w:r>
    </w:p>
    <w:p w14:paraId="10900E2F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把想法快速变成可跑的东西</w:t>
      </w:r>
      <w:r>
        <w:rPr>
          <w:rFonts w:ascii="宋体" w:hAnsi="宋体" w:eastAsia="宋体"/>
          <w:b w:val="0"/>
          <w:sz w:val="24"/>
        </w:rPr>
        <w:t>：从规则框架到六步流程可运行，AI 承担了绝大部分编码与文档工作量，让人把精力集中在场景判断、规则口径和验收上。</w:t>
      </w:r>
    </w:p>
    <w:p w14:paraId="681BC36E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让"证据链"成为可能</w:t>
      </w:r>
      <w:r>
        <w:rPr>
          <w:rFonts w:ascii="宋体" w:hAnsi="宋体" w:eastAsia="宋体"/>
          <w:b w:val="0"/>
          <w:sz w:val="24"/>
        </w:rPr>
        <w:t>：多轮生成与修正过程被完整记录，形成可提交的 AI 协作证据，而不是只有最终代码。</w:t>
      </w:r>
    </w:p>
    <w:p w14:paraId="50AA3C2C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降低了合规工具的开发门槛</w:t>
      </w:r>
      <w:r>
        <w:rPr>
          <w:rFonts w:ascii="宋体" w:hAnsi="宋体" w:eastAsia="宋体"/>
          <w:b w:val="0"/>
          <w:sz w:val="24"/>
        </w:rPr>
        <w:t>：小团队也能做出带校验算法、四态判定、可打印档案的完整工具。</w:t>
      </w:r>
    </w:p>
    <w:p w14:paraId="67A62A9D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七、反思：使用 AI 的三个风险与应对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22A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881F2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风险</w:t>
            </w:r>
          </w:p>
        </w:tc>
        <w:tc>
          <w:tcPr>
            <w:tcW w:w="2882" w:type="dxa"/>
          </w:tcPr>
          <w:p w14:paraId="3B0B0AB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表现</w:t>
            </w:r>
          </w:p>
        </w:tc>
        <w:tc>
          <w:tcPr>
            <w:tcW w:w="2882" w:type="dxa"/>
          </w:tcPr>
          <w:p w14:paraId="19B7431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应对</w:t>
            </w:r>
          </w:p>
        </w:tc>
      </w:tr>
      <w:tr w14:paraId="78D8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4137E0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法条幻觉</w:t>
            </w:r>
          </w:p>
        </w:tc>
        <w:tc>
          <w:tcPr>
            <w:tcW w:w="2882" w:type="dxa"/>
          </w:tcPr>
          <w:p w14:paraId="6E8996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模型可能"编"出看似合理的条款号</w:t>
            </w:r>
          </w:p>
        </w:tc>
        <w:tc>
          <w:tcPr>
            <w:tcW w:w="2882" w:type="dxa"/>
          </w:tcPr>
          <w:p w14:paraId="47F3778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硬性红线：不生成法条；条款号一律【待核对】，由人核对后才启用</w:t>
            </w:r>
          </w:p>
        </w:tc>
      </w:tr>
      <w:tr w14:paraId="6719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17099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过度自信</w:t>
            </w:r>
          </w:p>
        </w:tc>
        <w:tc>
          <w:tcPr>
            <w:tcW w:w="2882" w:type="dxa"/>
          </w:tcPr>
          <w:p w14:paraId="4787B79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生成内容语气笃定，但实现与描述不一致</w:t>
            </w:r>
          </w:p>
        </w:tc>
        <w:tc>
          <w:tcPr>
            <w:tcW w:w="2882" w:type="dxa"/>
          </w:tcPr>
          <w:p w14:paraId="465B29F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以代码实际行为为准逐条复核；发现不符即在日志中更正并注明</w:t>
            </w:r>
          </w:p>
        </w:tc>
      </w:tr>
      <w:tr w14:paraId="41AF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F9FEB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正确性不可自证</w:t>
            </w:r>
          </w:p>
        </w:tc>
        <w:tc>
          <w:tcPr>
            <w:tcW w:w="2882" w:type="dxa"/>
          </w:tcPr>
          <w:p w14:paraId="769F003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"能跑"不等于"判得对"</w:t>
            </w:r>
          </w:p>
        </w:tc>
        <w:tc>
          <w:tcPr>
            <w:tcW w:w="2882" w:type="dxa"/>
          </w:tcPr>
          <w:p w14:paraId="02F0DC8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建立 48 条自测（含反向断言）+ 三组案例实测 + 浏览器全链路验证</w:t>
            </w:r>
          </w:p>
        </w:tc>
      </w:tr>
    </w:tbl>
    <w:p w14:paraId="576E7498">
      <w:pPr>
        <w:spacing w:after="40"/>
      </w:pPr>
    </w:p>
    <w:p w14:paraId="149A6145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八、结语</w:t>
      </w:r>
    </w:p>
    <w:p w14:paraId="12340F42">
      <w:pPr>
        <w:spacing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这个作品的 AI 应用逻辑可以概括为一句话：</w:t>
      </w:r>
      <w:r>
        <w:rPr>
          <w:rFonts w:ascii="宋体" w:hAnsi="宋体" w:eastAsia="宋体"/>
          <w:b/>
          <w:sz w:val="24"/>
        </w:rPr>
        <w:t>让 AI 做它擅长的（检索、起草、编码、测试、文档），让人守它守不住的（法条、口径、责任、签字）</w:t>
      </w:r>
      <w:r>
        <w:rPr>
          <w:rFonts w:ascii="宋体" w:hAnsi="宋体" w:eastAsia="宋体"/>
          <w:b w:val="0"/>
          <w:sz w:val="24"/>
        </w:rPr>
        <w:t>。工具本身也是按这个逻辑设计的——机器查得一致，人担得责任。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Er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Eran">
    <w:panose1 w:val="02000609000000000000"/>
    <w:charset w:val="80"/>
    <w:family w:val="auto"/>
    <w:pitch w:val="default"/>
    <w:sig w:usb0="A00002BF" w:usb1="68C7FCFB" w:usb2="00000000" w:usb3="00000000" w:csb0="4002000F" w:csb1="D2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CD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1862</Words>
  <Characters>2141</Characters>
  <Lines>0</Lines>
  <Paragraphs>0</Paragraphs>
  <TotalTime>1</TotalTime>
  <ScaleCrop>false</ScaleCrop>
  <LinksUpToDate>false</LinksUpToDate>
  <CharactersWithSpaces>2254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李政轩</cp:lastModifiedBy>
  <dcterms:modified xsi:type="dcterms:W3CDTF">2026-10-25T07:31:34Z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eyJoZGlkIjoiYmIzOWRkZGIzYjY2MjQ4YjEyYWZjMDI5OWI1OGMxZjkiLCJ1c2VySWQiOiIxNzkxMDI2NzU3In0=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642EC150168A4DF9AA493D45E51566C7_12</vt:lpwstr>
  </property>
</Properties>
</file>