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TH SarabunPSK" w:cs="TH SarabunPSK" w:eastAsia="TH SarabunPSK" w:hAnsi="TH SarabunPSK"/>
          <w:b w:val="1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6"/>
          <w:szCs w:val="36"/>
          <w:rtl w:val="0"/>
        </w:rPr>
        <w:t xml:space="preserve">จากข้อมูลของ  INRIX Global Traffic Scorecard</w:t>
      </w:r>
    </w:p>
    <w:p w:rsidR="00000000" w:rsidDel="00000000" w:rsidP="00000000" w:rsidRDefault="00000000" w:rsidRPr="00000000" w14:paraId="00000002">
      <w:pPr>
        <w:ind w:left="36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จำนวนรถทั่วประเทศไทยทั้งหมดมี 38,428304 คัน</w:t>
      </w:r>
    </w:p>
    <w:p w:rsidR="00000000" w:rsidDel="00000000" w:rsidP="00000000" w:rsidRDefault="00000000" w:rsidRPr="00000000" w14:paraId="00000003">
      <w:pPr>
        <w:ind w:firstLine="72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และเฉพาะในกรุงเทพฯ คือ 9,820,987</w:t>
      </w:r>
    </w:p>
    <w:p w:rsidR="00000000" w:rsidDel="00000000" w:rsidP="00000000" w:rsidRDefault="00000000" w:rsidRPr="00000000" w14:paraId="00000004">
      <w:pPr>
        <w:ind w:left="36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เป็นรถส่วนตัว 4,264,010 รถโดยสารทั้งหมด 43.068</w:t>
      </w:r>
    </w:p>
    <w:p w:rsidR="00000000" w:rsidDel="00000000" w:rsidP="00000000" w:rsidRDefault="00000000" w:rsidRPr="00000000" w14:paraId="00000005">
      <w:pPr>
        <w:ind w:left="36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กรุงเทพฯ เป็นเมืองรถติด อันดับ 1 ของเอเชีย และ อันดับ 1 ของประเทศ            </w:t>
        <w:tab/>
        <w:t xml:space="preserve">    </w:t>
        <w:tab/>
      </w:r>
    </w:p>
    <w:p w:rsidR="00000000" w:rsidDel="00000000" w:rsidP="00000000" w:rsidRDefault="00000000" w:rsidRPr="00000000" w14:paraId="00000006">
      <w:pPr>
        <w:rPr>
          <w:rFonts w:ascii="Cordia New" w:cs="Cordia New" w:eastAsia="Cordia New" w:hAnsi="Cordia New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rdia New"/>
  <w:font w:name="TH SarabunPS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