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4A2D8B"/>
          <w:sz w:val="72"/>
          <w:szCs w:val="72"/>
        </w:rPr>
        <w:t xml:space="preserve">K O F I S</w:t>
      </w:r>
    </w:p>
    <w:p>
      <w:pPr>
        <w:spacing w:after="100"/>
        <w:jc w:val="center"/>
      </w:pPr>
      <w:r>
        <w:rPr>
          <w:rFonts w:ascii="Arial" w:cs="Arial" w:eastAsia="Arial" w:hAnsi="Arial"/>
          <w:b/>
          <w:bCs/>
          <w:color w:val="333333"/>
          <w:spacing w:val="40"/>
          <w:sz w:val="56"/>
          <w:szCs w:val="56"/>
        </w:rPr>
        <w:t xml:space="preserve">C I T Y</w:t>
      </w:r>
    </w:p>
    <w:p>
      <w:pPr>
        <w:spacing w:after="800" w:before="200"/>
        <w:jc w:val="center"/>
      </w:pPr>
      <w:r>
        <w:rPr>
          <w:rFonts w:ascii="Arial" w:cs="Arial" w:eastAsia="Arial" w:hAnsi="Arial"/>
          <w:i/>
          <w:iCs/>
          <w:color w:val="333333"/>
          <w:sz w:val="26"/>
          <w:szCs w:val="26"/>
        </w:rPr>
        <w:t xml:space="preserve">La ville virtuelle mondiale des 38 pôles d'activité</w:t>
      </w:r>
    </w:p>
    <w:p>
      <w:pPr>
        <w:pBdr>
          <w:top w:val="single" w:color="4A2D8B" w:sz="6"/>
          <w:bottom w:val="single" w:color="4A2D8B" w:sz="6"/>
        </w:pBdr>
        <w:spacing w:after="200" w:before="200"/>
        <w:jc w:val="center"/>
      </w:pPr>
      <w:r>
        <w:rPr>
          <w:rFonts w:ascii="Arial" w:cs="Arial" w:eastAsia="Arial" w:hAnsi="Arial"/>
          <w:b/>
          <w:bCs/>
          <w:color w:val="4A2D8B"/>
          <w:sz w:val="32"/>
          <w:szCs w:val="32"/>
        </w:rPr>
        <w:t xml:space="preserve">CAHIER DES CHARGES FONCTIONNEL</w:t>
      </w:r>
    </w:p>
    <w:p>
      <w:pPr>
        <w:spacing w:after="600"/>
      </w:pPr>
    </w:p>
    <w:p>
      <w:pPr>
        <w:spacing w:after="80"/>
        <w:jc w:val="center"/>
      </w:pPr>
      <w:r>
        <w:rPr>
          <w:rFonts w:ascii="Arial" w:cs="Arial" w:eastAsia="Arial" w:hAnsi="Arial"/>
          <w:b/>
          <w:bCs/>
          <w:sz w:val="24"/>
          <w:szCs w:val="24"/>
        </w:rPr>
        <w:t xml:space="preserve">Version 1.0</w:t>
      </w:r>
    </w:p>
    <w:p>
      <w:pPr>
        <w:spacing w:after="600"/>
        <w:jc w:val="center"/>
      </w:pPr>
      <w:r>
        <w:rPr>
          <w:rFonts w:ascii="Arial" w:cs="Arial" w:eastAsia="Arial" w:hAnsi="Arial"/>
          <w:sz w:val="24"/>
          <w:szCs w:val="24"/>
        </w:rPr>
        <w:t xml:space="preserve">Juillet 2026</w:t>
      </w:r>
    </w:p>
    <w:p>
      <w:pPr>
        <w:spacing w:after="120"/>
        <w:jc w:val="center"/>
      </w:pPr>
      <w:r>
        <w:rPr>
          <w:rFonts w:ascii="Arial" w:cs="Arial" w:eastAsia="Arial" w:hAnsi="Arial"/>
          <w:b/>
          <w:bCs/>
          <w:color w:val="4A2D8B"/>
          <w:sz w:val="24"/>
          <w:szCs w:val="24"/>
        </w:rPr>
        <w:t xml:space="preserve">Équipe fondatrice</w:t>
      </w:r>
    </w:p>
    <w:p>
      <w:pPr>
        <w:spacing w:after="60"/>
        <w:jc w:val="center"/>
      </w:pPr>
      <w:r>
        <w:rPr>
          <w:rFonts w:ascii="Arial" w:cs="Arial" w:eastAsia="Arial" w:hAnsi="Arial"/>
          <w:sz w:val="22"/>
          <w:szCs w:val="22"/>
        </w:rPr>
        <w:t xml:space="preserve">Ibrahima Thiam — Fondateur principal</w:t>
      </w:r>
    </w:p>
    <w:p>
      <w:pPr>
        <w:spacing w:after="60"/>
        <w:jc w:val="center"/>
      </w:pPr>
      <w:r>
        <w:rPr>
          <w:rFonts w:ascii="Arial" w:cs="Arial" w:eastAsia="Arial" w:hAnsi="Arial"/>
          <w:sz w:val="22"/>
          <w:szCs w:val="22"/>
        </w:rPr>
        <w:t xml:space="preserve">Fallou Fall — Co-fondateur</w:t>
      </w:r>
    </w:p>
    <w:p>
      <w:pPr>
        <w:spacing w:after="60"/>
        <w:jc w:val="center"/>
      </w:pPr>
      <w:r>
        <w:rPr>
          <w:rFonts w:ascii="Arial" w:cs="Arial" w:eastAsia="Arial" w:hAnsi="Arial"/>
          <w:sz w:val="22"/>
          <w:szCs w:val="22"/>
        </w:rPr>
        <w:t xml:space="preserve">Soukeye Kane — Co-fondatrice</w:t>
      </w:r>
    </w:p>
    <w:p>
      <w:pPr>
        <w:spacing w:after="60"/>
        <w:jc w:val="center"/>
      </w:pPr>
      <w:r>
        <w:rPr>
          <w:rFonts w:ascii="Arial" w:cs="Arial" w:eastAsia="Arial" w:hAnsi="Arial"/>
          <w:sz w:val="22"/>
          <w:szCs w:val="22"/>
        </w:rPr>
        <w:t xml:space="preserve">Khoyane Dramé — Co-fondatrice, Backend &amp; Infrastructure</w:t>
      </w:r>
    </w:p>
    <w:p>
      <w:pPr>
        <w:spacing w:after="60"/>
        <w:jc w:val="center"/>
      </w:pPr>
      <w:r>
        <w:rPr>
          <w:rFonts w:ascii="Arial" w:cs="Arial" w:eastAsia="Arial" w:hAnsi="Arial"/>
          <w:sz w:val="22"/>
          <w:szCs w:val="22"/>
        </w:rPr>
        <w:t xml:space="preserve">Ousseynou Leur — Co-fondateur</w:t>
      </w:r>
    </w:p>
    <w:p>
      <w:pPr>
        <w:spacing w:after="1000"/>
      </w:pPr>
    </w:p>
    <w:p>
      <w:pPr>
        <w:jc w:val="center"/>
      </w:pPr>
      <w:r>
        <w:rPr>
          <w:rFonts w:ascii="Arial" w:cs="Arial" w:eastAsia="Arial" w:hAnsi="Arial"/>
          <w:i/>
          <w:iCs/>
          <w:color w:val="666666"/>
          <w:sz w:val="18"/>
          <w:szCs w:val="18"/>
        </w:rPr>
        <w:t xml:space="preserve">Document confidentiel — usage interne à l'équipe fondatrice</w:t>
      </w:r>
    </w:p>
    <w:p>
      <w:r>
        <w:br w:type="page"/>
      </w:r>
    </w:p>
    <w:p>
      <w:pPr>
        <w:sectPr>
          <w:pgSz w:w="11906" w:h="16838" w:orient="portrait"/>
          <w:pgMar w:top="1440" w:right="1440" w:bottom="1440" w:left="1440" w:header="708" w:footer="708" w:gutter="0"/>
          <w:pgNumType/>
          <w:docGrid w:linePitch="360"/>
        </w:sectPr>
      </w:pPr>
    </w:p>
    <w:p>
      <w:pPr>
        <w:pStyle w:val="Heading1"/>
        <w:spacing w:after="200"/>
      </w:pPr>
      <w:r>
        <w:rPr>
          <w:rFonts w:ascii="Arial" w:cs="Arial" w:eastAsia="Arial" w:hAnsi="Arial"/>
          <w:b/>
          <w:bCs/>
          <w:color w:val="4A2D8B"/>
          <w:sz w:val="30"/>
          <w:szCs w:val="30"/>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rFonts w:ascii="Arial" w:cs="Arial" w:eastAsia="Arial" w:hAnsi="Arial"/>
          <w:b/>
          <w:bCs/>
          <w:color w:val="4A2D8B"/>
          <w:sz w:val="30"/>
          <w:szCs w:val="30"/>
        </w:rPr>
        <w:t xml:space="preserve">1. Présentation, vision et mission</w:t>
      </w:r>
    </w:p>
    <w:p>
      <w:pPr>
        <w:pStyle w:val="Heading2"/>
        <w:spacing w:after="160" w:before="280"/>
      </w:pPr>
      <w:r>
        <w:rPr>
          <w:rFonts w:ascii="Arial" w:cs="Arial" w:eastAsia="Arial" w:hAnsi="Arial"/>
          <w:b/>
          <w:bCs/>
          <w:color w:val="4A2D8B"/>
          <w:sz w:val="26"/>
          <w:szCs w:val="26"/>
        </w:rPr>
        <w:t xml:space="preserve">1.1 Présentation du projet</w:t>
      </w:r>
    </w:p>
    <w:p>
      <w:pPr>
        <w:spacing w:after="160" w:line="276"/>
        <w:jc w:val="both"/>
      </w:pPr>
      <w:r>
        <w:rPr>
          <w:rFonts w:ascii="Arial" w:cs="Arial" w:eastAsia="Arial" w:hAnsi="Arial"/>
          <w:b w:val="false"/>
          <w:bCs w:val="false"/>
          <w:i w:val="false"/>
          <w:iCs w:val="false"/>
          <w:sz w:val="22"/>
          <w:szCs w:val="22"/>
        </w:rPr>
        <w:t xml:space="preserve">KOFIS City est une ville virtuelle mondiale accessible en ligne, structurée autour de 38 pôles d'activités couvrant l'ensemble des grands domaines de la vie en société : Éducation, Musique, Marché, Santé, Justice, et bien d'autres. Chaque personne peut s'inscrire gratuitement et devenir « citoyen » de cette ville numérique en obtenant son Passeport KOFIS, véritable nationalité virtuelle qui matérialise son appartenance à l'écosystème.</w:t>
      </w:r>
    </w:p>
    <w:p>
      <w:pPr>
        <w:spacing w:after="160" w:line="276"/>
        <w:jc w:val="both"/>
      </w:pPr>
      <w:r>
        <w:rPr>
          <w:rFonts w:ascii="Arial" w:cs="Arial" w:eastAsia="Arial" w:hAnsi="Arial"/>
          <w:b w:val="false"/>
          <w:bCs w:val="false"/>
          <w:i w:val="false"/>
          <w:iCs w:val="false"/>
          <w:sz w:val="22"/>
          <w:szCs w:val="22"/>
        </w:rPr>
        <w:t xml:space="preserve">À l'image d'une ville réelle, KOFIS City permet à ses citoyens d'exercer des activités économiques, culturelles, éducatives ou sociales au sein des différents pôles. Chaque activité exercée génère des commissions, assimilables à des impôts virtuels, qui alimentent le fonctionnement et la croissance de la plateforme.</w:t>
      </w:r>
    </w:p>
    <w:p>
      <w:pPr>
        <w:pStyle w:val="Heading2"/>
        <w:spacing w:after="160" w:before="280"/>
      </w:pPr>
      <w:r>
        <w:rPr>
          <w:rFonts w:ascii="Arial" w:cs="Arial" w:eastAsia="Arial" w:hAnsi="Arial"/>
          <w:b/>
          <w:bCs/>
          <w:color w:val="4A2D8B"/>
          <w:sz w:val="26"/>
          <w:szCs w:val="26"/>
        </w:rPr>
        <w:t xml:space="preserve">1.2 Vision</w:t>
      </w:r>
    </w:p>
    <w:p>
      <w:pPr>
        <w:spacing w:after="160" w:line="276"/>
        <w:jc w:val="both"/>
      </w:pPr>
      <w:r>
        <w:rPr>
          <w:rFonts w:ascii="Arial" w:cs="Arial" w:eastAsia="Arial" w:hAnsi="Arial"/>
          <w:b w:val="false"/>
          <w:bCs w:val="false"/>
          <w:i w:val="false"/>
          <w:iCs w:val="false"/>
          <w:sz w:val="22"/>
          <w:szCs w:val="22"/>
        </w:rPr>
        <w:t xml:space="preserve">Devenir la première ville virtuelle mondiale de référence, un espace numérique unifié où chaque individu, quel que soit son pays d'origine, peut apprendre, entreprendre, échanger, se soigner, se divertir et faire valoir ses droits, au sein d'une seule et même communauté digitale structurée par pôles d'activités.</w:t>
      </w:r>
    </w:p>
    <w:p>
      <w:pPr>
        <w:pStyle w:val="Heading2"/>
        <w:spacing w:after="160" w:before="280"/>
      </w:pPr>
      <w:r>
        <w:rPr>
          <w:rFonts w:ascii="Arial" w:cs="Arial" w:eastAsia="Arial" w:hAnsi="Arial"/>
          <w:b/>
          <w:bCs/>
          <w:color w:val="4A2D8B"/>
          <w:sz w:val="26"/>
          <w:szCs w:val="26"/>
        </w:rPr>
        <w:t xml:space="preserve">1.3 Mission</w:t>
      </w:r>
    </w:p>
    <w:p>
      <w:pPr>
        <w:spacing w:after="160" w:line="276"/>
        <w:jc w:val="both"/>
      </w:pPr>
      <w:r>
        <w:rPr>
          <w:rFonts w:ascii="Arial" w:cs="Arial" w:eastAsia="Arial" w:hAnsi="Arial"/>
          <w:b w:val="false"/>
          <w:bCs w:val="false"/>
          <w:i w:val="false"/>
          <w:iCs w:val="false"/>
          <w:sz w:val="22"/>
          <w:szCs w:val="22"/>
        </w:rPr>
        <w:t xml:space="preserve">Offrir à chaque citoyen du monde un accès simple, gratuit et sécurisé à un écosystème numérique complet, en réunissant au sein d'une seule plateforme des services qui sont aujourd'hui dispersés entre de multiples applications, en valorisant les talents locaux (formateurs, artistes, commerçants, professionnels) et en créant un modèle économique équitable fondé sur les commissions générées par l'activité réelle des citoyens.</w:t>
      </w:r>
    </w:p>
    <w:p>
      <w:pPr>
        <w:pStyle w:val="Heading1"/>
        <w:pageBreakBefore/>
        <w:spacing w:after="200" w:before="360"/>
      </w:pPr>
      <w:r>
        <w:rPr>
          <w:rFonts w:ascii="Arial" w:cs="Arial" w:eastAsia="Arial" w:hAnsi="Arial"/>
          <w:b/>
          <w:bCs/>
          <w:color w:val="4A2D8B"/>
          <w:sz w:val="30"/>
          <w:szCs w:val="30"/>
        </w:rPr>
        <w:t xml:space="preserve">2. Problématique</w:t>
      </w:r>
    </w:p>
    <w:p>
      <w:pPr>
        <w:spacing w:after="160" w:line="276"/>
        <w:jc w:val="both"/>
      </w:pPr>
      <w:r>
        <w:rPr>
          <w:rFonts w:ascii="Arial" w:cs="Arial" w:eastAsia="Arial" w:hAnsi="Arial"/>
          <w:b w:val="false"/>
          <w:bCs w:val="false"/>
          <w:i w:val="false"/>
          <w:iCs w:val="false"/>
          <w:sz w:val="22"/>
          <w:szCs w:val="22"/>
        </w:rPr>
        <w:t xml:space="preserve">Aujourd'hui, un individu qui souhaite se former en ligne, vendre un produit, apprendre ou diffuser de la musique, consulter un professionnel de santé ou faire valoir un droit doit naviguer entre de nombreuses plateformes indépendantes, avec des comptes, des règles et des modèles économiques différents. Cette fragmentation a plusieurs conséquences :</w:t>
      </w:r>
    </w:p>
    <w:p>
      <w:pPr>
        <w:pStyle w:val="ListParagraph"/>
        <w:numPr>
          <w:ilvl w:val="0"/>
          <w:numId w:val="2"/>
        </w:numPr>
        <w:spacing w:after="80"/>
      </w:pPr>
      <w:r>
        <w:rPr>
          <w:rFonts w:ascii="Arial" w:cs="Arial" w:eastAsia="Arial" w:hAnsi="Arial"/>
          <w:sz w:val="22"/>
          <w:szCs w:val="22"/>
        </w:rPr>
        <w:t xml:space="preserve">Une expérience utilisateur dispersée et peu cohérente d'un service à l'autre ;</w:t>
      </w:r>
    </w:p>
    <w:p>
      <w:pPr>
        <w:pStyle w:val="ListParagraph"/>
        <w:numPr>
          <w:ilvl w:val="0"/>
          <w:numId w:val="2"/>
        </w:numPr>
        <w:spacing w:after="80"/>
      </w:pPr>
      <w:r>
        <w:rPr>
          <w:rFonts w:ascii="Arial" w:cs="Arial" w:eastAsia="Arial" w:hAnsi="Arial"/>
          <w:sz w:val="22"/>
          <w:szCs w:val="22"/>
        </w:rPr>
        <w:t xml:space="preserve">Des barrières à l'entrée pour les populations peu familières du numérique ;</w:t>
      </w:r>
    </w:p>
    <w:p>
      <w:pPr>
        <w:pStyle w:val="ListParagraph"/>
        <w:numPr>
          <w:ilvl w:val="0"/>
          <w:numId w:val="2"/>
        </w:numPr>
        <w:spacing w:after="80"/>
      </w:pPr>
      <w:r>
        <w:rPr>
          <w:rFonts w:ascii="Arial" w:cs="Arial" w:eastAsia="Arial" w:hAnsi="Arial"/>
          <w:sz w:val="22"/>
          <w:szCs w:val="22"/>
        </w:rPr>
        <w:t xml:space="preserve">Une absence d'identité numérique unifiée reconnue à travers les différents services ;</w:t>
      </w:r>
    </w:p>
    <w:p>
      <w:pPr>
        <w:pStyle w:val="ListParagraph"/>
        <w:numPr>
          <w:ilvl w:val="0"/>
          <w:numId w:val="2"/>
        </w:numPr>
        <w:spacing w:after="80"/>
      </w:pPr>
      <w:r>
        <w:rPr>
          <w:rFonts w:ascii="Arial" w:cs="Arial" w:eastAsia="Arial" w:hAnsi="Arial"/>
          <w:sz w:val="22"/>
          <w:szCs w:val="22"/>
        </w:rPr>
        <w:t xml:space="preserve">Une difficulté pour les créateurs de valeur (formateurs, artistes, commerçants) à être rémunérés de façon transparente ;</w:t>
      </w:r>
    </w:p>
    <w:p>
      <w:pPr>
        <w:pStyle w:val="ListParagraph"/>
        <w:numPr>
          <w:ilvl w:val="0"/>
          <w:numId w:val="2"/>
        </w:numPr>
        <w:spacing w:after="80"/>
      </w:pPr>
      <w:r>
        <w:rPr>
          <w:rFonts w:ascii="Arial" w:cs="Arial" w:eastAsia="Arial" w:hAnsi="Arial"/>
          <w:sz w:val="22"/>
          <w:szCs w:val="22"/>
        </w:rPr>
        <w:t xml:space="preserve">Un manque d'écosystème structuré capable de simuler, à l'échelle mondiale, l'ensemble des fonctions d'une société organisée.</w:t>
      </w:r>
    </w:p>
    <w:p>
      <w:pPr>
        <w:spacing w:after="160" w:line="276"/>
        <w:jc w:val="both"/>
      </w:pPr>
      <w:r>
        <w:rPr>
          <w:rFonts w:ascii="Arial" w:cs="Arial" w:eastAsia="Arial" w:hAnsi="Arial"/>
          <w:b w:val="false"/>
          <w:bCs w:val="false"/>
          <w:i w:val="false"/>
          <w:iCs w:val="false"/>
          <w:sz w:val="22"/>
          <w:szCs w:val="22"/>
        </w:rPr>
        <w:t xml:space="preserve">KOFIS City répond à cette problématique en proposant un environnement unique, structuré par pôles, dans lequel l'identité (Passeport KOFIS), l'activité et la rémunération des citoyens sont gérées de manière cohérente et transparente.</w:t>
      </w:r>
    </w:p>
    <w:p>
      <w:pPr>
        <w:pStyle w:val="Heading1"/>
        <w:pageBreakBefore/>
        <w:spacing w:after="200" w:before="360"/>
      </w:pPr>
      <w:r>
        <w:rPr>
          <w:rFonts w:ascii="Arial" w:cs="Arial" w:eastAsia="Arial" w:hAnsi="Arial"/>
          <w:b/>
          <w:bCs/>
          <w:color w:val="4A2D8B"/>
          <w:sz w:val="30"/>
          <w:szCs w:val="30"/>
        </w:rPr>
        <w:t xml:space="preserve">3. Objectifs</w:t>
      </w:r>
    </w:p>
    <w:p>
      <w:pPr>
        <w:pStyle w:val="Heading2"/>
        <w:spacing w:after="160" w:before="280"/>
      </w:pPr>
      <w:r>
        <w:rPr>
          <w:rFonts w:ascii="Arial" w:cs="Arial" w:eastAsia="Arial" w:hAnsi="Arial"/>
          <w:b/>
          <w:bCs/>
          <w:color w:val="4A2D8B"/>
          <w:sz w:val="26"/>
          <w:szCs w:val="26"/>
        </w:rPr>
        <w:t xml:space="preserve">3.1 Objectifs à court terme (0 à 6 mois)</w:t>
      </w:r>
    </w:p>
    <w:p>
      <w:pPr>
        <w:pStyle w:val="ListParagraph"/>
        <w:numPr>
          <w:ilvl w:val="0"/>
          <w:numId w:val="2"/>
        </w:numPr>
        <w:spacing w:after="80"/>
      </w:pPr>
      <w:r>
        <w:rPr>
          <w:rFonts w:ascii="Arial" w:cs="Arial" w:eastAsia="Arial" w:hAnsi="Arial"/>
          <w:sz w:val="22"/>
          <w:szCs w:val="22"/>
        </w:rPr>
        <w:t xml:space="preserve">Concevoir et développer le MVP autour de trois pôles prioritaires : Éducation, Marché et Musique ;</w:t>
      </w:r>
    </w:p>
    <w:p>
      <w:pPr>
        <w:pStyle w:val="ListParagraph"/>
        <w:numPr>
          <w:ilvl w:val="0"/>
          <w:numId w:val="2"/>
        </w:numPr>
        <w:spacing w:after="80"/>
      </w:pPr>
      <w:r>
        <w:rPr>
          <w:rFonts w:ascii="Arial" w:cs="Arial" w:eastAsia="Arial" w:hAnsi="Arial"/>
          <w:sz w:val="22"/>
          <w:szCs w:val="22"/>
        </w:rPr>
        <w:t xml:space="preserve">Mettre en place le Passeport KOFIS et le parcours d'inscription des citoyens ;</w:t>
      </w:r>
    </w:p>
    <w:p>
      <w:pPr>
        <w:pStyle w:val="ListParagraph"/>
        <w:numPr>
          <w:ilvl w:val="0"/>
          <w:numId w:val="2"/>
        </w:numPr>
        <w:spacing w:after="80"/>
      </w:pPr>
      <w:r>
        <w:rPr>
          <w:rFonts w:ascii="Arial" w:cs="Arial" w:eastAsia="Arial" w:hAnsi="Arial"/>
          <w:sz w:val="22"/>
          <w:szCs w:val="22"/>
        </w:rPr>
        <w:t xml:space="preserve">Valider le modèle de commissions sur un périmètre restreint de transactions ;</w:t>
      </w:r>
    </w:p>
    <w:p>
      <w:pPr>
        <w:pStyle w:val="ListParagraph"/>
        <w:numPr>
          <w:ilvl w:val="0"/>
          <w:numId w:val="2"/>
        </w:numPr>
        <w:spacing w:after="80"/>
      </w:pPr>
      <w:r>
        <w:rPr>
          <w:rFonts w:ascii="Arial" w:cs="Arial" w:eastAsia="Arial" w:hAnsi="Arial"/>
          <w:sz w:val="22"/>
          <w:szCs w:val="22"/>
        </w:rPr>
        <w:t xml:space="preserve">Constituer une première communauté de bêta-testeurs (citoyens, formateurs, commerçants, artistes).</w:t>
      </w:r>
    </w:p>
    <w:p>
      <w:pPr>
        <w:pStyle w:val="Heading2"/>
        <w:spacing w:after="160" w:before="280"/>
      </w:pPr>
      <w:r>
        <w:rPr>
          <w:rFonts w:ascii="Arial" w:cs="Arial" w:eastAsia="Arial" w:hAnsi="Arial"/>
          <w:b/>
          <w:bCs/>
          <w:color w:val="4A2D8B"/>
          <w:sz w:val="26"/>
          <w:szCs w:val="26"/>
        </w:rPr>
        <w:t xml:space="preserve">3.2 Objectifs à moyen terme (6 à 18 mois)</w:t>
      </w:r>
    </w:p>
    <w:p>
      <w:pPr>
        <w:pStyle w:val="ListParagraph"/>
        <w:numPr>
          <w:ilvl w:val="0"/>
          <w:numId w:val="2"/>
        </w:numPr>
        <w:spacing w:after="80"/>
      </w:pPr>
      <w:r>
        <w:rPr>
          <w:rFonts w:ascii="Arial" w:cs="Arial" w:eastAsia="Arial" w:hAnsi="Arial"/>
          <w:sz w:val="22"/>
          <w:szCs w:val="22"/>
        </w:rPr>
        <w:t xml:space="preserve">Étendre la plateforme à de nouveaux pôles (Santé, Justice, Emploi, Sport…) ;</w:t>
      </w:r>
    </w:p>
    <w:p>
      <w:pPr>
        <w:pStyle w:val="ListParagraph"/>
        <w:numPr>
          <w:ilvl w:val="0"/>
          <w:numId w:val="2"/>
        </w:numPr>
        <w:spacing w:after="80"/>
      </w:pPr>
      <w:r>
        <w:rPr>
          <w:rFonts w:ascii="Arial" w:cs="Arial" w:eastAsia="Arial" w:hAnsi="Arial"/>
          <w:sz w:val="22"/>
          <w:szCs w:val="22"/>
        </w:rPr>
        <w:t xml:space="preserve">Mettre en place un back-office d'administration complet pour la gouvernance des pôles ;</w:t>
      </w:r>
    </w:p>
    <w:p>
      <w:pPr>
        <w:pStyle w:val="ListParagraph"/>
        <w:numPr>
          <w:ilvl w:val="0"/>
          <w:numId w:val="2"/>
        </w:numPr>
        <w:spacing w:after="80"/>
      </w:pPr>
      <w:r>
        <w:rPr>
          <w:rFonts w:ascii="Arial" w:cs="Arial" w:eastAsia="Arial" w:hAnsi="Arial"/>
          <w:sz w:val="22"/>
          <w:szCs w:val="22"/>
        </w:rPr>
        <w:t xml:space="preserve">Développer des partenariats avec des institutions (universités, banques, incubateurs) ;</w:t>
      </w:r>
    </w:p>
    <w:p>
      <w:pPr>
        <w:pStyle w:val="ListParagraph"/>
        <w:numPr>
          <w:ilvl w:val="0"/>
          <w:numId w:val="2"/>
        </w:numPr>
        <w:spacing w:after="80"/>
      </w:pPr>
      <w:r>
        <w:rPr>
          <w:rFonts w:ascii="Arial" w:cs="Arial" w:eastAsia="Arial" w:hAnsi="Arial"/>
          <w:sz w:val="22"/>
          <w:szCs w:val="22"/>
        </w:rPr>
        <w:t xml:space="preserve">Atteindre un seuil critique de citoyens actifs et de transactions mensuelles.</w:t>
      </w:r>
    </w:p>
    <w:p>
      <w:pPr>
        <w:pStyle w:val="Heading2"/>
        <w:spacing w:after="160" w:before="280"/>
      </w:pPr>
      <w:r>
        <w:rPr>
          <w:rFonts w:ascii="Arial" w:cs="Arial" w:eastAsia="Arial" w:hAnsi="Arial"/>
          <w:b/>
          <w:bCs/>
          <w:color w:val="4A2D8B"/>
          <w:sz w:val="26"/>
          <w:szCs w:val="26"/>
        </w:rPr>
        <w:t xml:space="preserve">3.3 Objectifs à long terme (18 mois et plus)</w:t>
      </w:r>
    </w:p>
    <w:p>
      <w:pPr>
        <w:pStyle w:val="ListParagraph"/>
        <w:numPr>
          <w:ilvl w:val="0"/>
          <w:numId w:val="2"/>
        </w:numPr>
        <w:spacing w:after="80"/>
      </w:pPr>
      <w:r>
        <w:rPr>
          <w:rFonts w:ascii="Arial" w:cs="Arial" w:eastAsia="Arial" w:hAnsi="Arial"/>
          <w:sz w:val="22"/>
          <w:szCs w:val="22"/>
        </w:rPr>
        <w:t xml:space="preserve">Couvrir l'intégralité des 38 pôles d'activités prévus ;</w:t>
      </w:r>
    </w:p>
    <w:p>
      <w:pPr>
        <w:pStyle w:val="ListParagraph"/>
        <w:numPr>
          <w:ilvl w:val="0"/>
          <w:numId w:val="2"/>
        </w:numPr>
        <w:spacing w:after="80"/>
      </w:pPr>
      <w:r>
        <w:rPr>
          <w:rFonts w:ascii="Arial" w:cs="Arial" w:eastAsia="Arial" w:hAnsi="Arial"/>
          <w:sz w:val="22"/>
          <w:szCs w:val="22"/>
        </w:rPr>
        <w:t xml:space="preserve">Internationaliser la plateforme (multilingue, multi-devises, conformité réglementaire par région) ;</w:t>
      </w:r>
    </w:p>
    <w:p>
      <w:pPr>
        <w:pStyle w:val="ListParagraph"/>
        <w:numPr>
          <w:ilvl w:val="0"/>
          <w:numId w:val="2"/>
        </w:numPr>
        <w:spacing w:after="80"/>
      </w:pPr>
      <w:r>
        <w:rPr>
          <w:rFonts w:ascii="Arial" w:cs="Arial" w:eastAsia="Arial" w:hAnsi="Arial"/>
          <w:sz w:val="22"/>
          <w:szCs w:val="22"/>
        </w:rPr>
        <w:t xml:space="preserve">Faire du Passeport KOFIS un standard reconnu d'identité numérique inter-pôles ;</w:t>
      </w:r>
    </w:p>
    <w:p>
      <w:pPr>
        <w:pStyle w:val="ListParagraph"/>
        <w:numPr>
          <w:ilvl w:val="0"/>
          <w:numId w:val="2"/>
        </w:numPr>
        <w:spacing w:after="80"/>
      </w:pPr>
      <w:r>
        <w:rPr>
          <w:rFonts w:ascii="Arial" w:cs="Arial" w:eastAsia="Arial" w:hAnsi="Arial"/>
          <w:sz w:val="22"/>
          <w:szCs w:val="22"/>
        </w:rPr>
        <w:t xml:space="preserve">Construire un modèle économique pérenne fondé sur les commissions et les partenariats stratégiques.</w:t>
      </w:r>
    </w:p>
    <w:p>
      <w:pPr>
        <w:pStyle w:val="Heading1"/>
        <w:pageBreakBefore/>
        <w:spacing w:after="200" w:before="360"/>
      </w:pPr>
      <w:r>
        <w:rPr>
          <w:rFonts w:ascii="Arial" w:cs="Arial" w:eastAsia="Arial" w:hAnsi="Arial"/>
          <w:b/>
          <w:bCs/>
          <w:color w:val="4A2D8B"/>
          <w:sz w:val="30"/>
          <w:szCs w:val="30"/>
        </w:rPr>
        <w:t xml:space="preserve">4. Équipe fondatrice</w:t>
      </w:r>
    </w:p>
    <w:p>
      <w:pPr>
        <w:spacing w:after="160" w:line="276"/>
        <w:jc w:val="both"/>
      </w:pPr>
      <w:r>
        <w:rPr>
          <w:rFonts w:ascii="Arial" w:cs="Arial" w:eastAsia="Arial" w:hAnsi="Arial"/>
          <w:b w:val="false"/>
          <w:bCs w:val="false"/>
          <w:i w:val="false"/>
          <w:iCs w:val="false"/>
          <w:sz w:val="22"/>
          <w:szCs w:val="22"/>
        </w:rPr>
        <w:t xml:space="preserve">Le projet KOFIS City est porté par une équipe pluridisciplinaire de cinq co-fondateurs, alliant compétences scientifiques, techniques et entrepreneuriales.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Nom</w:t>
            </w:r>
          </w:p>
        </w:tc>
        <w:tc>
          <w:tcPr>
            <w:tcW w:type="dxa" w:w="3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Rôle</w:t>
            </w:r>
          </w:p>
        </w:tc>
        <w:tc>
          <w:tcPr>
            <w:tcW w:type="dxa" w:w="28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Formation</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Ibrahima Thiam</w:t>
            </w:r>
          </w:p>
        </w:tc>
        <w:tc>
          <w:tcPr>
            <w:tcW w:type="dxa" w:w="3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Fondateur principal</w:t>
            </w:r>
          </w:p>
        </w:tc>
        <w:tc>
          <w:tcPr>
            <w:tcW w:type="dxa" w:w="28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Licence PCSM, UCAD Dakar</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Fallou Fall</w:t>
            </w:r>
          </w:p>
        </w:tc>
        <w:tc>
          <w:tcPr>
            <w:tcW w:type="dxa" w:w="3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Co-fondateur</w:t>
            </w:r>
          </w:p>
        </w:tc>
        <w:tc>
          <w:tcPr>
            <w:tcW w:type="dxa" w:w="28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Licence PCSM, UCAD Dakar</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Soukeye Kane</w:t>
            </w:r>
          </w:p>
        </w:tc>
        <w:tc>
          <w:tcPr>
            <w:tcW w:type="dxa" w:w="3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Co-fondatrice</w:t>
            </w:r>
          </w:p>
        </w:tc>
        <w:tc>
          <w:tcPr>
            <w:tcW w:type="dxa" w:w="28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Maths-Physique-Info, UGB Saint-Louis</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Khoyane Dramé</w:t>
            </w:r>
          </w:p>
        </w:tc>
        <w:tc>
          <w:tcPr>
            <w:tcW w:type="dxa" w:w="3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Co-fondatrice — Backend &amp; Infrastructure</w:t>
            </w:r>
          </w:p>
        </w:tc>
        <w:tc>
          <w:tcPr>
            <w:tcW w:type="dxa" w:w="28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Informatique MIAGE, France</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Ousseynou Leur</w:t>
            </w:r>
          </w:p>
        </w:tc>
        <w:tc>
          <w:tcPr>
            <w:tcW w:type="dxa" w:w="3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Co-fondateur</w:t>
            </w:r>
          </w:p>
        </w:tc>
        <w:tc>
          <w:tcPr>
            <w:tcW w:type="dxa" w:w="28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Statistiques MPI, France</w:t>
            </w:r>
          </w:p>
        </w:tc>
      </w:tr>
    </w:tbl>
    <w:p>
      <w:pPr>
        <w:spacing w:after="120"/>
      </w:pPr>
    </w:p>
    <w:p>
      <w:pPr>
        <w:spacing w:after="160" w:line="276"/>
        <w:jc w:val="both"/>
      </w:pPr>
      <w:r>
        <w:rPr>
          <w:rFonts w:ascii="Arial" w:cs="Arial" w:eastAsia="Arial" w:hAnsi="Arial"/>
          <w:b w:val="false"/>
          <w:bCs w:val="false"/>
          <w:i w:val="false"/>
          <w:iCs w:val="false"/>
          <w:sz w:val="22"/>
          <w:szCs w:val="22"/>
        </w:rPr>
        <w:t xml:space="preserve">Cette diversité de profils — mathématiques, physique, informatique, statistiques — permet à l'équipe de couvrir l'ensemble des besoins du projet : conception scientifique du modèle de la ville virtuelle, développement technique de la plateforme (frontend, backend, infrastructure) et analyse des données de la communauté.</w:t>
      </w:r>
    </w:p>
    <w:p>
      <w:pPr>
        <w:pStyle w:val="Heading1"/>
        <w:pageBreakBefore/>
        <w:spacing w:after="200" w:before="360"/>
      </w:pPr>
      <w:r>
        <w:rPr>
          <w:rFonts w:ascii="Arial" w:cs="Arial" w:eastAsia="Arial" w:hAnsi="Arial"/>
          <w:b/>
          <w:bCs/>
          <w:color w:val="4A2D8B"/>
          <w:sz w:val="30"/>
          <w:szCs w:val="30"/>
        </w:rPr>
        <w:t xml:space="preserve">5. Personas</w:t>
      </w:r>
    </w:p>
    <w:p>
      <w:pPr>
        <w:spacing w:after="160" w:line="276"/>
        <w:jc w:val="both"/>
      </w:pPr>
      <w:r>
        <w:rPr>
          <w:rFonts w:ascii="Arial" w:cs="Arial" w:eastAsia="Arial" w:hAnsi="Arial"/>
          <w:b w:val="false"/>
          <w:bCs w:val="false"/>
          <w:i w:val="false"/>
          <w:iCs w:val="false"/>
          <w:sz w:val="22"/>
          <w:szCs w:val="22"/>
        </w:rPr>
        <w:t xml:space="preserve">Trois personas illustrent les profils types de citoyens de KOFIS City et guident les choix fonctionnels du produit.</w:t>
      </w:r>
    </w:p>
    <w:p>
      <w:pPr>
        <w:pStyle w:val="Heading2"/>
        <w:spacing w:after="160" w:before="280"/>
      </w:pPr>
      <w:r>
        <w:rPr>
          <w:rFonts w:ascii="Arial" w:cs="Arial" w:eastAsia="Arial" w:hAnsi="Arial"/>
          <w:b/>
          <w:bCs/>
          <w:color w:val="4A2D8B"/>
          <w:sz w:val="26"/>
          <w:szCs w:val="26"/>
        </w:rPr>
        <w:t xml:space="preserve">5.1 Awa — L'étudiante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Critère</w:t>
            </w:r>
          </w:p>
        </w:tc>
        <w:tc>
          <w:tcPr>
            <w:tcW w:type="dxa" w:w="64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Description</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Âge</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21 ans</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Situation</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Étudiante en licence, à la recherche de ressources pédagogiques complémentaires</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Objectif sur KOFIS City</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Accéder à des cours et formations dans le pôle Éducation, suivre sa progression, obtenir des attestations</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Frustrations actuelles</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Trop de plateformes différentes, coûts élevés des formations en ligne, absence de suivi unifié</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Attentes</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Simplicité d'inscription, gratuité de l'accès de base, reconnaissance de son parcours via son Passeport KOFIS</w:t>
            </w:r>
          </w:p>
        </w:tc>
      </w:tr>
    </w:tbl>
    <w:p>
      <w:pPr>
        <w:spacing w:after="120"/>
      </w:pPr>
    </w:p>
    <w:p>
      <w:pPr>
        <w:pStyle w:val="Heading2"/>
        <w:spacing w:after="160" w:before="280"/>
      </w:pPr>
      <w:r>
        <w:rPr>
          <w:rFonts w:ascii="Arial" w:cs="Arial" w:eastAsia="Arial" w:hAnsi="Arial"/>
          <w:b/>
          <w:bCs/>
          <w:color w:val="4A2D8B"/>
          <w:sz w:val="26"/>
          <w:szCs w:val="26"/>
        </w:rPr>
        <w:t xml:space="preserve">5.2 Moussa — Le formateur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Critère</w:t>
            </w:r>
          </w:p>
        </w:tc>
        <w:tc>
          <w:tcPr>
            <w:tcW w:type="dxa" w:w="64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Description</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Âge</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34 ans</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Situation</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Formateur indépendant souhaitant diffuser ses cours à un public large</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Objectif sur KOFIS City</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Publier des contenus de formation dans le pôle Éducation et être rémunéré via les commissions générées</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Frustrations actuelles</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Commissions élevées sur les plateformes existantes, faible visibilité, gestion administrative lourde</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Attentes</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Un pôle Éducation valorisant son expertise, une rémunération transparente, des outils simples de gestion de contenu</w:t>
            </w:r>
          </w:p>
        </w:tc>
      </w:tr>
    </w:tbl>
    <w:p>
      <w:pPr>
        <w:spacing w:after="120"/>
      </w:pPr>
    </w:p>
    <w:p>
      <w:pPr>
        <w:pStyle w:val="Heading2"/>
        <w:spacing w:after="160" w:before="280"/>
      </w:pPr>
      <w:r>
        <w:rPr>
          <w:rFonts w:ascii="Arial" w:cs="Arial" w:eastAsia="Arial" w:hAnsi="Arial"/>
          <w:b/>
          <w:bCs/>
          <w:color w:val="4A2D8B"/>
          <w:sz w:val="26"/>
          <w:szCs w:val="26"/>
        </w:rPr>
        <w:t xml:space="preserve">5.3 Fatou — L'entrepreneure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Critère</w:t>
            </w:r>
          </w:p>
        </w:tc>
        <w:tc>
          <w:tcPr>
            <w:tcW w:type="dxa" w:w="64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Description</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Âge</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29 ans</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Situation</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Entrepreneure gérant une petite activité de vente de produits artisanaux</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Objectif sur KOFIS City</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Vendre ses produits dans le pôle Marché et toucher une clientèle internationale</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Frustrations actuelles</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Coûts d'installation d'une boutique en ligne, difficulté à toucher une audience mondiale</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Attentes</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Un pôle Marché simple à utiliser, des transactions sécurisées, une commission équitable sur les ventes</w:t>
            </w:r>
          </w:p>
        </w:tc>
      </w:tr>
    </w:tbl>
    <w:p>
      <w:pPr>
        <w:pStyle w:val="Heading1"/>
        <w:pageBreakBefore/>
        <w:spacing w:after="200" w:before="360"/>
      </w:pPr>
      <w:r>
        <w:rPr>
          <w:rFonts w:ascii="Arial" w:cs="Arial" w:eastAsia="Arial" w:hAnsi="Arial"/>
          <w:b/>
          <w:bCs/>
          <w:color w:val="4A2D8B"/>
          <w:sz w:val="30"/>
          <w:szCs w:val="30"/>
        </w:rPr>
        <w:t xml:space="preserve">6. Expression du besoin</w:t>
      </w:r>
    </w:p>
    <w:p>
      <w:pPr>
        <w:spacing w:after="160" w:line="276"/>
        <w:jc w:val="both"/>
      </w:pPr>
      <w:r>
        <w:rPr>
          <w:rFonts w:ascii="Arial" w:cs="Arial" w:eastAsia="Arial" w:hAnsi="Arial"/>
          <w:b w:val="false"/>
          <w:bCs w:val="false"/>
          <w:i w:val="false"/>
          <w:iCs w:val="false"/>
          <w:sz w:val="22"/>
          <w:szCs w:val="22"/>
        </w:rPr>
        <w:t xml:space="preserve">Le besoin exprimé par les fondateurs et validé auprès des premiers utilisateurs cibles se résume ainsi : disposer d'une plateforme unique où un individu peut, avec une seule identité numérique (le Passeport KOFIS), accéder à plusieurs services essentiels (éducation, commerce, culture, santé, justice, etc.), et où chaque acteur de valeur (citoyen, professionnel) peut exercer une activité rémunérée de façon transparente.</w:t>
      </w:r>
    </w:p>
    <w:p>
      <w:pPr>
        <w:spacing w:after="160" w:line="276"/>
        <w:jc w:val="both"/>
      </w:pPr>
      <w:r>
        <w:rPr>
          <w:rFonts w:ascii="Arial" w:cs="Arial" w:eastAsia="Arial" w:hAnsi="Arial"/>
          <w:b w:val="false"/>
          <w:bCs w:val="false"/>
          <w:i w:val="false"/>
          <w:iCs w:val="false"/>
          <w:sz w:val="22"/>
          <w:szCs w:val="22"/>
        </w:rPr>
        <w:t xml:space="preserve">Ce besoin se décline en trois grandes catégories :</w:t>
      </w:r>
    </w:p>
    <w:p>
      <w:pPr>
        <w:pStyle w:val="ListParagraph"/>
        <w:numPr>
          <w:ilvl w:val="0"/>
          <w:numId w:val="2"/>
        </w:numPr>
        <w:spacing w:after="80"/>
      </w:pPr>
      <w:r>
        <w:rPr>
          <w:rFonts w:ascii="Arial" w:cs="Arial" w:eastAsia="Arial" w:hAnsi="Arial"/>
          <w:sz w:val="22"/>
          <w:szCs w:val="22"/>
        </w:rPr>
        <w:t xml:space="preserve">Besoin d'identité : un Passeport KOFIS unique, gratuit, reconnu sur l'ensemble des pôles ;</w:t>
      </w:r>
    </w:p>
    <w:p>
      <w:pPr>
        <w:pStyle w:val="ListParagraph"/>
        <w:numPr>
          <w:ilvl w:val="0"/>
          <w:numId w:val="2"/>
        </w:numPr>
        <w:spacing w:after="80"/>
      </w:pPr>
      <w:r>
        <w:rPr>
          <w:rFonts w:ascii="Arial" w:cs="Arial" w:eastAsia="Arial" w:hAnsi="Arial"/>
          <w:sz w:val="22"/>
          <w:szCs w:val="22"/>
        </w:rPr>
        <w:t xml:space="preserve">Besoin fonctionnel : des pôles d'activité couvrant les besoins réels (apprendre, vendre, écouter/publier de la musique, se soigner, se défendre juridiquement, etc.) ;</w:t>
      </w:r>
    </w:p>
    <w:p>
      <w:pPr>
        <w:pStyle w:val="ListParagraph"/>
        <w:numPr>
          <w:ilvl w:val="0"/>
          <w:numId w:val="2"/>
        </w:numPr>
        <w:spacing w:after="80"/>
      </w:pPr>
      <w:r>
        <w:rPr>
          <w:rFonts w:ascii="Arial" w:cs="Arial" w:eastAsia="Arial" w:hAnsi="Arial"/>
          <w:sz w:val="22"/>
          <w:szCs w:val="22"/>
        </w:rPr>
        <w:t xml:space="preserve">Besoin économique : un système de commissions transparent qui rémunère la plateforme sans pénaliser excessivement les citoyens producteurs de valeur.</w:t>
      </w:r>
    </w:p>
    <w:p>
      <w:pPr>
        <w:pStyle w:val="Heading1"/>
        <w:pageBreakBefore/>
        <w:spacing w:after="200" w:before="360"/>
      </w:pPr>
      <w:r>
        <w:rPr>
          <w:rFonts w:ascii="Arial" w:cs="Arial" w:eastAsia="Arial" w:hAnsi="Arial"/>
          <w:b/>
          <w:bCs/>
          <w:color w:val="4A2D8B"/>
          <w:sz w:val="30"/>
          <w:szCs w:val="30"/>
        </w:rPr>
        <w:t xml:space="preserve">7. Périmètre du MVP</w:t>
      </w:r>
    </w:p>
    <w:p>
      <w:pPr>
        <w:spacing w:after="160" w:line="276"/>
        <w:jc w:val="both"/>
      </w:pPr>
      <w:r>
        <w:rPr>
          <w:rFonts w:ascii="Arial" w:cs="Arial" w:eastAsia="Arial" w:hAnsi="Arial"/>
          <w:b w:val="false"/>
          <w:bCs w:val="false"/>
          <w:i w:val="false"/>
          <w:iCs w:val="false"/>
          <w:sz w:val="22"/>
          <w:szCs w:val="22"/>
        </w:rPr>
        <w:t xml:space="preserve">Le MVP (Minimum Viable Product) de KOFIS City se concentre sur trois pôles prioritaires, choisis pour leur capacité à démontrer rapidement la valeur du concept et à générer les premières commissions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200"/>
      </w:tblGrid>
      <w:tr>
        <w:trPr>
          <w:tblHeader/>
        </w:trPr>
        <w:tc>
          <w:tcPr>
            <w:tcW w:type="dxa" w:w="1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Pôle</w:t>
            </w:r>
          </w:p>
        </w:tc>
        <w:tc>
          <w:tcPr>
            <w:tcW w:type="dxa" w:w="52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Contenu du MVP</w:t>
            </w:r>
          </w:p>
        </w:tc>
        <w:tc>
          <w:tcPr>
            <w:tcW w:type="dxa" w:w="22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Acteurs concernés</w:t>
            </w:r>
          </w:p>
        </w:tc>
      </w:tr>
      <w:tr>
        <w:tc>
          <w:tcPr>
            <w:tcW w:type="dxa" w:w="1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Éducation</w:t>
            </w:r>
          </w:p>
        </w:tc>
        <w:tc>
          <w:tcPr>
            <w:tcW w:type="dxa" w:w="5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Catalogue de formations, inscription à un cours, suivi de progression, attestation de suivi</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Citoyen (apprenant), Professionnel (formateur)</w:t>
            </w:r>
          </w:p>
        </w:tc>
      </w:tr>
      <w:tr>
        <w:tc>
          <w:tcPr>
            <w:tcW w:type="dxa" w:w="1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Marché</w:t>
            </w:r>
          </w:p>
        </w:tc>
        <w:tc>
          <w:tcPr>
            <w:tcW w:type="dxa" w:w="5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Création de boutique, publication de produits, panier et commande, paiement sécurisé</w:t>
            </w:r>
          </w:p>
        </w:tc>
        <w:tc>
          <w:tcPr>
            <w:tcW w:type="dxa" w:w="2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Citoyen (acheteur), Professionnel (vendeur)</w:t>
            </w:r>
          </w:p>
        </w:tc>
      </w:tr>
      <w:tr>
        <w:tc>
          <w:tcPr>
            <w:tcW w:type="dxa" w:w="1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Musique</w:t>
            </w:r>
          </w:p>
        </w:tc>
        <w:tc>
          <w:tcPr>
            <w:tcW w:type="dxa" w:w="5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Publication de morceaux, écoute en streaming, playlist, statistiques d'écoute pour l'artiste</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Citoyen (auditeur), Professionnel (artiste)</w:t>
            </w:r>
          </w:p>
        </w:tc>
      </w:tr>
    </w:tbl>
    <w:p>
      <w:pPr>
        <w:spacing w:after="120"/>
      </w:pPr>
    </w:p>
    <w:p>
      <w:pPr>
        <w:spacing w:after="160" w:line="276"/>
        <w:jc w:val="both"/>
      </w:pPr>
      <w:r>
        <w:rPr>
          <w:rFonts w:ascii="Arial" w:cs="Arial" w:eastAsia="Arial" w:hAnsi="Arial"/>
          <w:b w:val="false"/>
          <w:bCs w:val="false"/>
          <w:i w:val="false"/>
          <w:iCs w:val="false"/>
          <w:sz w:val="22"/>
          <w:szCs w:val="22"/>
        </w:rPr>
        <w:t xml:space="preserve">Sont exclus du MVP, mais prévus dans les phases ultérieures de la roadmap : les pôles Santé, Justice, Emploi, ainsi que les fonctionnalités avancées de gouvernance communautaire et de multi-devises.</w:t>
      </w:r>
    </w:p>
    <w:p>
      <w:pPr>
        <w:pStyle w:val="Heading1"/>
        <w:pageBreakBefore/>
        <w:spacing w:after="200" w:before="360"/>
      </w:pPr>
      <w:r>
        <w:rPr>
          <w:rFonts w:ascii="Arial" w:cs="Arial" w:eastAsia="Arial" w:hAnsi="Arial"/>
          <w:b/>
          <w:bCs/>
          <w:color w:val="4A2D8B"/>
          <w:sz w:val="30"/>
          <w:szCs w:val="30"/>
        </w:rPr>
        <w:t xml:space="preserve">8. Spécifications fonctionnelles et contraintes</w:t>
      </w:r>
    </w:p>
    <w:p>
      <w:pPr>
        <w:pStyle w:val="Heading2"/>
        <w:spacing w:after="160" w:before="280"/>
      </w:pPr>
      <w:r>
        <w:rPr>
          <w:rFonts w:ascii="Arial" w:cs="Arial" w:eastAsia="Arial" w:hAnsi="Arial"/>
          <w:b/>
          <w:bCs/>
          <w:color w:val="4A2D8B"/>
          <w:sz w:val="26"/>
          <w:szCs w:val="26"/>
        </w:rPr>
        <w:t xml:space="preserve">8.1 Spécifications fonctionnelles (FS1 à FS8)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200"/>
        <w:gridCol w:w="2400"/>
      </w:tblGrid>
      <w:tr>
        <w:trPr>
          <w:tblHeader/>
        </w:trPr>
        <w:tc>
          <w:tcPr>
            <w:tcW w:type="dxa" w:w="7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Réf.</w:t>
            </w:r>
          </w:p>
        </w:tc>
        <w:tc>
          <w:tcPr>
            <w:tcW w:type="dxa" w:w="22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Fonctionnalité</w:t>
            </w:r>
          </w:p>
        </w:tc>
        <w:tc>
          <w:tcPr>
            <w:tcW w:type="dxa" w:w="42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Description</w:t>
            </w:r>
          </w:p>
        </w:tc>
        <w:tc>
          <w:tcPr>
            <w:tcW w:type="dxa" w:w="24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Critère d'appréciation</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FS1</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Inscription &amp; Passeport KOFIS</w:t>
            </w:r>
          </w:p>
        </w:tc>
        <w:tc>
          <w:tcPr>
            <w:tcW w:type="dxa" w:w="4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Permettre à tout visiteur de créer gratuitement un compte citoyen et d'obtenir son Passeport KOFIS (identifiant unique, profil de base).</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Temps d'inscription &lt; 2 minutes ; taux de complétion du formulaire &gt; 90 %</w:t>
            </w:r>
          </w:p>
        </w:tc>
      </w:tr>
      <w:tr>
        <w:tc>
          <w:tcPr>
            <w:tcW w:type="dxa" w:w="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FS2</w:t>
            </w:r>
          </w:p>
        </w:tc>
        <w:tc>
          <w:tcPr>
            <w:tcW w:type="dxa" w:w="2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Authentification &amp; sécurité des comptes</w:t>
            </w:r>
          </w:p>
        </w:tc>
        <w:tc>
          <w:tcPr>
            <w:tcW w:type="dxa" w:w="4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Sécuriser l'accès au compte via connexion par identifiants (JWT + Bcrypt), et gestion du mot de passe oublié.</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Aucune connexion réussie sans jeton JWT valide ; mots de passe jamais stockés en clair</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FS3</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Gestion du profil citoyen</w:t>
            </w:r>
          </w:p>
        </w:tc>
        <w:tc>
          <w:tcPr>
            <w:tcW w:type="dxa" w:w="4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Permettre au citoyen de consulter et modifier ses informations, visualiser son Passeport KOFIS et son historique d'activité.</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100 % des champs du profil modifiables ; historique consultable sur 12 mois glissants</w:t>
            </w:r>
          </w:p>
        </w:tc>
      </w:tr>
      <w:tr>
        <w:tc>
          <w:tcPr>
            <w:tcW w:type="dxa" w:w="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FS4</w:t>
            </w:r>
          </w:p>
        </w:tc>
        <w:tc>
          <w:tcPr>
            <w:tcW w:type="dxa" w:w="2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Pôle Éducation (MVP)</w:t>
            </w:r>
          </w:p>
        </w:tc>
        <w:tc>
          <w:tcPr>
            <w:tcW w:type="dxa" w:w="4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Consultation du catalogue de formations, inscription à un cours, suivi de progression et délivrance d'attestation.</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Taux de complétion des cours suivis &gt; 60 % ; attestation générée automatiquement en fin de parcours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FS5</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Pôle Marché (MVP)</w:t>
            </w:r>
          </w:p>
        </w:tc>
        <w:tc>
          <w:tcPr>
            <w:tcW w:type="dxa" w:w="4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Création de boutique, publication de produits, gestion du panier, commande et paiement sécurisé.</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Taux de succès des paiements &gt; 98 % ; délai de publication d'un produit &lt; 1 minute</w:t>
            </w:r>
          </w:p>
        </w:tc>
      </w:tr>
      <w:tr>
        <w:tc>
          <w:tcPr>
            <w:tcW w:type="dxa" w:w="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FS6</w:t>
            </w:r>
          </w:p>
        </w:tc>
        <w:tc>
          <w:tcPr>
            <w:tcW w:type="dxa" w:w="2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Pôle Musique (MVP)</w:t>
            </w:r>
          </w:p>
        </w:tc>
        <w:tc>
          <w:tcPr>
            <w:tcW w:type="dxa" w:w="4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Publication de morceaux par les artistes, écoute en streaming, création de playlists par les citoyens.</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Temps de chargement d'un morceau &lt; 3 secondes ; disponibilité du flux audio &gt; 99 %</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FS7</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Système de commissions (impôts virtuels)</w:t>
            </w:r>
          </w:p>
        </w:tc>
        <w:tc>
          <w:tcPr>
            <w:tcW w:type="dxa" w:w="4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Calculer et prélever automatiquement une commission sur chaque transaction réalisée sur un pôle, et la répartir vers le budget de la plateforme.</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Calcul de commission exact à 100 % ; traçabilité complète de chaque prélèvement</w:t>
            </w:r>
          </w:p>
        </w:tc>
      </w:tr>
      <w:tr>
        <w:tc>
          <w:tcPr>
            <w:tcW w:type="dxa" w:w="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FS8</w:t>
            </w:r>
          </w:p>
        </w:tc>
        <w:tc>
          <w:tcPr>
            <w:tcW w:type="dxa" w:w="2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Tableau de bord &amp; notifications</w:t>
            </w:r>
          </w:p>
        </w:tc>
        <w:tc>
          <w:tcPr>
            <w:tcW w:type="dxa" w:w="4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Offrir à chaque citoyen une vue synthétique de son activité (revenus, cours suivis, ventes, notifications) et l'alerter des événements importants.</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Notification envoyée en moins de 30 secondes après l'événement déclencheur</w:t>
            </w:r>
          </w:p>
        </w:tc>
      </w:tr>
    </w:tbl>
    <w:p>
      <w:pPr>
        <w:spacing w:after="200"/>
      </w:pPr>
    </w:p>
    <w:p>
      <w:pPr>
        <w:pStyle w:val="Heading2"/>
        <w:spacing w:after="160" w:before="280"/>
      </w:pPr>
      <w:r>
        <w:rPr>
          <w:rFonts w:ascii="Arial" w:cs="Arial" w:eastAsia="Arial" w:hAnsi="Arial"/>
          <w:b/>
          <w:bCs/>
          <w:color w:val="4A2D8B"/>
          <w:sz w:val="26"/>
          <w:szCs w:val="26"/>
        </w:rPr>
        <w:t xml:space="preserve">8.2 Contraintes non fonctionnelles (FC1 à FC6)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200"/>
        <w:gridCol w:w="2400"/>
      </w:tblGrid>
      <w:tr>
        <w:trPr>
          <w:tblHeader/>
        </w:trPr>
        <w:tc>
          <w:tcPr>
            <w:tcW w:type="dxa" w:w="7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Réf.</w:t>
            </w:r>
          </w:p>
        </w:tc>
        <w:tc>
          <w:tcPr>
            <w:tcW w:type="dxa" w:w="22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Contrainte</w:t>
            </w:r>
          </w:p>
        </w:tc>
        <w:tc>
          <w:tcPr>
            <w:tcW w:type="dxa" w:w="42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Description</w:t>
            </w:r>
          </w:p>
        </w:tc>
        <w:tc>
          <w:tcPr>
            <w:tcW w:type="dxa" w:w="24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Critère d'appréciation</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FC1</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Performance &amp; scalabilité</w:t>
            </w:r>
          </w:p>
        </w:tc>
        <w:tc>
          <w:tcPr>
            <w:tcW w:type="dxa" w:w="4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La plateforme doit supporter une montée en charge progressive du nombre de citoyens et de transactions sans dégradation majeure.</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Temps de réponse moyen &lt; 2 secondes sous charge nominale</w:t>
            </w:r>
          </w:p>
        </w:tc>
      </w:tr>
      <w:tr>
        <w:tc>
          <w:tcPr>
            <w:tcW w:type="dxa" w:w="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FC2</w:t>
            </w:r>
          </w:p>
        </w:tc>
        <w:tc>
          <w:tcPr>
            <w:tcW w:type="dxa" w:w="2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Sécurité des données</w:t>
            </w:r>
          </w:p>
        </w:tc>
        <w:tc>
          <w:tcPr>
            <w:tcW w:type="dxa" w:w="4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Les données personnelles et financières doivent être protégées (chiffrement, hachage des mots de passe, contrôle d'accès).</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Aucune donnée sensible stockée en clair ; audit de sécurité sans faille critique</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FC3</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Compatibilité multi-plateforme</w:t>
            </w:r>
          </w:p>
        </w:tc>
        <w:tc>
          <w:tcPr>
            <w:tcW w:type="dxa" w:w="4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L'application doit être utilisable sur ordinateur, tablette et mobile via une interface responsive.</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Rendu correct sur les navigateurs majeurs et résolutions courantes (desktop, tablette, mobile)</w:t>
            </w:r>
          </w:p>
        </w:tc>
      </w:tr>
      <w:tr>
        <w:tc>
          <w:tcPr>
            <w:tcW w:type="dxa" w:w="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FC4</w:t>
            </w:r>
          </w:p>
        </w:tc>
        <w:tc>
          <w:tcPr>
            <w:tcW w:type="dxa" w:w="2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Disponibilité &amp; résilience</w:t>
            </w:r>
          </w:p>
        </w:tc>
        <w:tc>
          <w:tcPr>
            <w:tcW w:type="dxa" w:w="4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Le service doit rester accessible en continu, avec une reprise rapide en cas d'incident technique.</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Disponibilité cible ≥ 99 % ; sauvegardes automatiques quotidiennes</w:t>
            </w:r>
          </w:p>
        </w:tc>
      </w:tr>
      <w:tr>
        <w:tc>
          <w:tcPr>
            <w:tcW w:type="dxa" w:w="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FC5</w:t>
            </w:r>
          </w:p>
        </w:tc>
        <w:tc>
          <w:tcPr>
            <w:tcW w:type="dxa" w:w="2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Conformité RGPD / légale</w:t>
            </w:r>
          </w:p>
        </w:tc>
        <w:tc>
          <w:tcPr>
            <w:tcW w:type="dxa" w:w="4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Le traitement des données personnelles doit respecter les réglementations applicables (RGPD et équivalents locaux).</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Consentement explicite recueilli ; droit à l'effacement et à la portabilité opérationnels</w:t>
            </w:r>
          </w:p>
        </w:tc>
      </w:tr>
      <w:tr>
        <w:tc>
          <w:tcPr>
            <w:tcW w:type="dxa" w:w="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FC6</w:t>
            </w:r>
          </w:p>
        </w:tc>
        <w:tc>
          <w:tcPr>
            <w:tcW w:type="dxa" w:w="2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Ergonomie &amp; accessibilité</w:t>
            </w:r>
          </w:p>
        </w:tc>
        <w:tc>
          <w:tcPr>
            <w:tcW w:type="dxa" w:w="4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L'interface doit être simple d'utilisation pour un public non technophile, avec une accessibilité de base respectée.</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Parcours d'inscription réalisable sans assistance par un utilisateur non initié</w:t>
            </w:r>
          </w:p>
        </w:tc>
      </w:tr>
    </w:tbl>
    <w:p>
      <w:pPr>
        <w:pStyle w:val="Heading1"/>
        <w:pageBreakBefore/>
        <w:spacing w:after="200" w:before="360"/>
      </w:pPr>
      <w:r>
        <w:rPr>
          <w:rFonts w:ascii="Arial" w:cs="Arial" w:eastAsia="Arial" w:hAnsi="Arial"/>
          <w:b/>
          <w:bCs/>
          <w:color w:val="4A2D8B"/>
          <w:sz w:val="30"/>
          <w:szCs w:val="30"/>
        </w:rPr>
        <w:t xml:space="preserve">9. User Stories</w:t>
      </w:r>
    </w:p>
    <w:p>
      <w:pPr>
        <w:pStyle w:val="Heading2"/>
        <w:spacing w:after="160" w:before="280"/>
      </w:pPr>
      <w:r>
        <w:rPr>
          <w:rFonts w:ascii="Arial" w:cs="Arial" w:eastAsia="Arial" w:hAnsi="Arial"/>
          <w:b/>
          <w:bCs/>
          <w:color w:val="4A2D8B"/>
          <w:sz w:val="26"/>
          <w:szCs w:val="26"/>
        </w:rPr>
        <w:t xml:space="preserve">9.1 Pôle Éducation</w:t>
      </w:r>
    </w:p>
    <w:p>
      <w:pPr>
        <w:pStyle w:val="ListParagraph"/>
        <w:numPr>
          <w:ilvl w:val="0"/>
          <w:numId w:val="2"/>
        </w:numPr>
        <w:spacing w:after="80"/>
      </w:pPr>
      <w:r>
        <w:rPr>
          <w:rFonts w:ascii="Arial" w:cs="Arial" w:eastAsia="Arial" w:hAnsi="Arial"/>
          <w:sz w:val="22"/>
          <w:szCs w:val="22"/>
        </w:rPr>
        <w:t xml:space="preserve">En tant que citoyen, je veux consulter le catalogue de formations afin de choisir un cours adapté à mon besoin.</w:t>
      </w:r>
    </w:p>
    <w:p>
      <w:pPr>
        <w:pStyle w:val="ListParagraph"/>
        <w:numPr>
          <w:ilvl w:val="0"/>
          <w:numId w:val="2"/>
        </w:numPr>
        <w:spacing w:after="80"/>
      </w:pPr>
      <w:r>
        <w:rPr>
          <w:rFonts w:ascii="Arial" w:cs="Arial" w:eastAsia="Arial" w:hAnsi="Arial"/>
          <w:sz w:val="22"/>
          <w:szCs w:val="22"/>
        </w:rPr>
        <w:t xml:space="preserve">En tant que citoyen, je veux m'inscrire à un cours afin de commencer mon apprentissage.</w:t>
      </w:r>
    </w:p>
    <w:p>
      <w:pPr>
        <w:pStyle w:val="ListParagraph"/>
        <w:numPr>
          <w:ilvl w:val="0"/>
          <w:numId w:val="2"/>
        </w:numPr>
        <w:spacing w:after="80"/>
      </w:pPr>
      <w:r>
        <w:rPr>
          <w:rFonts w:ascii="Arial" w:cs="Arial" w:eastAsia="Arial" w:hAnsi="Arial"/>
          <w:sz w:val="22"/>
          <w:szCs w:val="22"/>
        </w:rPr>
        <w:t xml:space="preserve">En tant que formateur, je veux publier une formation afin de la rendre disponible à l'ensemble des citoyens.</w:t>
      </w:r>
    </w:p>
    <w:p>
      <w:pPr>
        <w:pStyle w:val="ListParagraph"/>
        <w:numPr>
          <w:ilvl w:val="0"/>
          <w:numId w:val="2"/>
        </w:numPr>
        <w:spacing w:after="80"/>
      </w:pPr>
      <w:r>
        <w:rPr>
          <w:rFonts w:ascii="Arial" w:cs="Arial" w:eastAsia="Arial" w:hAnsi="Arial"/>
          <w:sz w:val="22"/>
          <w:szCs w:val="22"/>
        </w:rPr>
        <w:t xml:space="preserve">En tant que formateur, je veux consulter mes revenus générés par mes formations afin de suivre mon activité.</w:t>
      </w:r>
    </w:p>
    <w:p>
      <w:pPr>
        <w:pStyle w:val="Heading2"/>
        <w:spacing w:after="160" w:before="280"/>
      </w:pPr>
      <w:r>
        <w:rPr>
          <w:rFonts w:ascii="Arial" w:cs="Arial" w:eastAsia="Arial" w:hAnsi="Arial"/>
          <w:b/>
          <w:bCs/>
          <w:color w:val="4A2D8B"/>
          <w:sz w:val="26"/>
          <w:szCs w:val="26"/>
        </w:rPr>
        <w:t xml:space="preserve">9.2 Pôle Marché</w:t>
      </w:r>
    </w:p>
    <w:p>
      <w:pPr>
        <w:pStyle w:val="ListParagraph"/>
        <w:numPr>
          <w:ilvl w:val="0"/>
          <w:numId w:val="2"/>
        </w:numPr>
        <w:spacing w:after="80"/>
      </w:pPr>
      <w:r>
        <w:rPr>
          <w:rFonts w:ascii="Arial" w:cs="Arial" w:eastAsia="Arial" w:hAnsi="Arial"/>
          <w:sz w:val="22"/>
          <w:szCs w:val="22"/>
        </w:rPr>
        <w:t xml:space="preserve">En tant que citoyen, je veux parcourir les produits du Marché afin de trouver un article qui m'intéresse.</w:t>
      </w:r>
    </w:p>
    <w:p>
      <w:pPr>
        <w:pStyle w:val="ListParagraph"/>
        <w:numPr>
          <w:ilvl w:val="0"/>
          <w:numId w:val="2"/>
        </w:numPr>
        <w:spacing w:after="80"/>
      </w:pPr>
      <w:r>
        <w:rPr>
          <w:rFonts w:ascii="Arial" w:cs="Arial" w:eastAsia="Arial" w:hAnsi="Arial"/>
          <w:sz w:val="22"/>
          <w:szCs w:val="22"/>
        </w:rPr>
        <w:t xml:space="preserve">En tant que professionnel, je veux créer ma boutique afin de vendre mes produits aux citoyens.</w:t>
      </w:r>
    </w:p>
    <w:p>
      <w:pPr>
        <w:pStyle w:val="ListParagraph"/>
        <w:numPr>
          <w:ilvl w:val="0"/>
          <w:numId w:val="2"/>
        </w:numPr>
        <w:spacing w:after="80"/>
      </w:pPr>
      <w:r>
        <w:rPr>
          <w:rFonts w:ascii="Arial" w:cs="Arial" w:eastAsia="Arial" w:hAnsi="Arial"/>
          <w:sz w:val="22"/>
          <w:szCs w:val="22"/>
        </w:rPr>
        <w:t xml:space="preserve">En tant que citoyen, je veux payer ma commande en toute sécurité afin de finaliser mon achat.</w:t>
      </w:r>
    </w:p>
    <w:p>
      <w:pPr>
        <w:pStyle w:val="Heading2"/>
        <w:spacing w:after="160" w:before="280"/>
      </w:pPr>
      <w:r>
        <w:rPr>
          <w:rFonts w:ascii="Arial" w:cs="Arial" w:eastAsia="Arial" w:hAnsi="Arial"/>
          <w:b/>
          <w:bCs/>
          <w:color w:val="4A2D8B"/>
          <w:sz w:val="26"/>
          <w:szCs w:val="26"/>
        </w:rPr>
        <w:t xml:space="preserve">9.3 Pôle Musique</w:t>
      </w:r>
    </w:p>
    <w:p>
      <w:pPr>
        <w:pStyle w:val="ListParagraph"/>
        <w:numPr>
          <w:ilvl w:val="0"/>
          <w:numId w:val="2"/>
        </w:numPr>
        <w:spacing w:after="80"/>
      </w:pPr>
      <w:r>
        <w:rPr>
          <w:rFonts w:ascii="Arial" w:cs="Arial" w:eastAsia="Arial" w:hAnsi="Arial"/>
          <w:sz w:val="22"/>
          <w:szCs w:val="22"/>
        </w:rPr>
        <w:t xml:space="preserve">En tant qu'artiste, je veux publier un morceau afin de le partager avec la communauté KOFIS City.</w:t>
      </w:r>
    </w:p>
    <w:p>
      <w:pPr>
        <w:pStyle w:val="ListParagraph"/>
        <w:numPr>
          <w:ilvl w:val="0"/>
          <w:numId w:val="2"/>
        </w:numPr>
        <w:spacing w:after="80"/>
      </w:pPr>
      <w:r>
        <w:rPr>
          <w:rFonts w:ascii="Arial" w:cs="Arial" w:eastAsia="Arial" w:hAnsi="Arial"/>
          <w:sz w:val="22"/>
          <w:szCs w:val="22"/>
        </w:rPr>
        <w:t xml:space="preserve">En tant que citoyen, je veux écouter de la musique en streaming afin de me divertir.</w:t>
      </w:r>
    </w:p>
    <w:p>
      <w:pPr>
        <w:pStyle w:val="ListParagraph"/>
        <w:numPr>
          <w:ilvl w:val="0"/>
          <w:numId w:val="2"/>
        </w:numPr>
        <w:spacing w:after="80"/>
      </w:pPr>
      <w:r>
        <w:rPr>
          <w:rFonts w:ascii="Arial" w:cs="Arial" w:eastAsia="Arial" w:hAnsi="Arial"/>
          <w:sz w:val="22"/>
          <w:szCs w:val="22"/>
        </w:rPr>
        <w:t xml:space="preserve">En tant qu'artiste, je veux consulter mes statistiques d'écoute afin d'évaluer la popularité de mes morceaux.</w:t>
      </w:r>
    </w:p>
    <w:p>
      <w:pPr>
        <w:pStyle w:val="Heading2"/>
        <w:spacing w:after="160" w:before="280"/>
      </w:pPr>
      <w:r>
        <w:rPr>
          <w:rFonts w:ascii="Arial" w:cs="Arial" w:eastAsia="Arial" w:hAnsi="Arial"/>
          <w:b/>
          <w:bCs/>
          <w:color w:val="4A2D8B"/>
          <w:sz w:val="26"/>
          <w:szCs w:val="26"/>
        </w:rPr>
        <w:t xml:space="preserve">9.4 Transverse</w:t>
      </w:r>
    </w:p>
    <w:p>
      <w:pPr>
        <w:pStyle w:val="ListParagraph"/>
        <w:numPr>
          <w:ilvl w:val="0"/>
          <w:numId w:val="2"/>
        </w:numPr>
        <w:spacing w:after="80"/>
      </w:pPr>
      <w:r>
        <w:rPr>
          <w:rFonts w:ascii="Arial" w:cs="Arial" w:eastAsia="Arial" w:hAnsi="Arial"/>
          <w:sz w:val="22"/>
          <w:szCs w:val="22"/>
        </w:rPr>
        <w:t xml:space="preserve">En tant que visiteur, je veux m'inscrire gratuitement afin d'obtenir mon Passeport KOFIS et devenir citoyen.</w:t>
      </w:r>
    </w:p>
    <w:p>
      <w:pPr>
        <w:pStyle w:val="ListParagraph"/>
        <w:numPr>
          <w:ilvl w:val="0"/>
          <w:numId w:val="2"/>
        </w:numPr>
        <w:spacing w:after="80"/>
      </w:pPr>
      <w:r>
        <w:rPr>
          <w:rFonts w:ascii="Arial" w:cs="Arial" w:eastAsia="Arial" w:hAnsi="Arial"/>
          <w:sz w:val="22"/>
          <w:szCs w:val="22"/>
        </w:rPr>
        <w:t xml:space="preserve">En tant qu'administrateur, je veux superviser les transactions de chaque pôle afin de garantir la conformité des commissions prélevées.</w:t>
      </w:r>
    </w:p>
    <w:p>
      <w:pPr>
        <w:pStyle w:val="Heading1"/>
        <w:pageBreakBefore/>
        <w:spacing w:after="200" w:before="360"/>
      </w:pPr>
      <w:r>
        <w:rPr>
          <w:rFonts w:ascii="Arial" w:cs="Arial" w:eastAsia="Arial" w:hAnsi="Arial"/>
          <w:b/>
          <w:bCs/>
          <w:color w:val="4A2D8B"/>
          <w:sz w:val="30"/>
          <w:szCs w:val="30"/>
        </w:rPr>
        <w:t xml:space="preserve">10. Diagramme des cas d'utilisation</w:t>
      </w:r>
    </w:p>
    <w:p>
      <w:pPr>
        <w:spacing w:after="160" w:line="276"/>
        <w:jc w:val="both"/>
      </w:pPr>
      <w:r>
        <w:rPr>
          <w:rFonts w:ascii="Arial" w:cs="Arial" w:eastAsia="Arial" w:hAnsi="Arial"/>
          <w:b w:val="false"/>
          <w:bCs w:val="false"/>
          <w:i w:val="false"/>
          <w:iCs w:val="false"/>
          <w:sz w:val="22"/>
          <w:szCs w:val="22"/>
        </w:rPr>
        <w:t xml:space="preserve">Le système KOFIS City s'articule autour de trois acteurs principaux. Les cas d'utilisation ci-dessous sont présentés sous forme structurée, en l'absence de diagramme UML graphique, mais respectent la logique acteur / cas d'utilisation / relation.</w:t>
      </w:r>
    </w:p>
    <w:p>
      <w:pPr>
        <w:pStyle w:val="Heading2"/>
        <w:spacing w:after="160" w:before="280"/>
      </w:pPr>
      <w:r>
        <w:rPr>
          <w:rFonts w:ascii="Arial" w:cs="Arial" w:eastAsia="Arial" w:hAnsi="Arial"/>
          <w:b/>
          <w:bCs/>
          <w:color w:val="4A2D8B"/>
          <w:sz w:val="26"/>
          <w:szCs w:val="26"/>
        </w:rPr>
        <w:t xml:space="preserve">10.1 Acteur : Citoyen</w:t>
      </w:r>
    </w:p>
    <w:p>
      <w:pPr>
        <w:spacing w:after="160" w:line="276"/>
        <w:jc w:val="both"/>
      </w:pPr>
      <w:r>
        <w:rPr>
          <w:rFonts w:ascii="Arial" w:cs="Arial" w:eastAsia="Arial" w:hAnsi="Arial"/>
          <w:b w:val="false"/>
          <w:bCs w:val="false"/>
          <w:i w:val="false"/>
          <w:iCs w:val="false"/>
          <w:sz w:val="22"/>
          <w:szCs w:val="22"/>
        </w:rPr>
        <w:t xml:space="preserve">Le Citoyen est tout utilisateur inscrit disposant d'un Passeport KOFIS. Il peut :</w:t>
      </w:r>
    </w:p>
    <w:p>
      <w:pPr>
        <w:pStyle w:val="ListParagraph"/>
        <w:numPr>
          <w:ilvl w:val="0"/>
          <w:numId w:val="2"/>
        </w:numPr>
        <w:spacing w:after="80"/>
      </w:pPr>
      <w:r>
        <w:rPr>
          <w:rFonts w:ascii="Arial" w:cs="Arial" w:eastAsia="Arial" w:hAnsi="Arial"/>
          <w:sz w:val="22"/>
          <w:szCs w:val="22"/>
        </w:rPr>
        <w:t xml:space="preserve">S'inscrire et créer son Passeport KOFIS</w:t>
      </w:r>
    </w:p>
    <w:p>
      <w:pPr>
        <w:pStyle w:val="ListParagraph"/>
        <w:numPr>
          <w:ilvl w:val="0"/>
          <w:numId w:val="2"/>
        </w:numPr>
        <w:spacing w:after="80"/>
      </w:pPr>
      <w:r>
        <w:rPr>
          <w:rFonts w:ascii="Arial" w:cs="Arial" w:eastAsia="Arial" w:hAnsi="Arial"/>
          <w:sz w:val="22"/>
          <w:szCs w:val="22"/>
        </w:rPr>
        <w:t xml:space="preserve">Se connecter / se déconnecter</w:t>
      </w:r>
    </w:p>
    <w:p>
      <w:pPr>
        <w:pStyle w:val="ListParagraph"/>
        <w:numPr>
          <w:ilvl w:val="0"/>
          <w:numId w:val="2"/>
        </w:numPr>
        <w:spacing w:after="80"/>
      </w:pPr>
      <w:r>
        <w:rPr>
          <w:rFonts w:ascii="Arial" w:cs="Arial" w:eastAsia="Arial" w:hAnsi="Arial"/>
          <w:sz w:val="22"/>
          <w:szCs w:val="22"/>
        </w:rPr>
        <w:t xml:space="preserve">Consulter et modifier son profil</w:t>
      </w:r>
    </w:p>
    <w:p>
      <w:pPr>
        <w:pStyle w:val="ListParagraph"/>
        <w:numPr>
          <w:ilvl w:val="0"/>
          <w:numId w:val="2"/>
        </w:numPr>
        <w:spacing w:after="80"/>
      </w:pPr>
      <w:r>
        <w:rPr>
          <w:rFonts w:ascii="Arial" w:cs="Arial" w:eastAsia="Arial" w:hAnsi="Arial"/>
          <w:sz w:val="22"/>
          <w:szCs w:val="22"/>
        </w:rPr>
        <w:t xml:space="preserve">Consulter le catalogue de formations et s'inscrire à un cours (pôle Éducation)</w:t>
      </w:r>
    </w:p>
    <w:p>
      <w:pPr>
        <w:pStyle w:val="ListParagraph"/>
        <w:numPr>
          <w:ilvl w:val="0"/>
          <w:numId w:val="2"/>
        </w:numPr>
        <w:spacing w:after="80"/>
      </w:pPr>
      <w:r>
        <w:rPr>
          <w:rFonts w:ascii="Arial" w:cs="Arial" w:eastAsia="Arial" w:hAnsi="Arial"/>
          <w:sz w:val="22"/>
          <w:szCs w:val="22"/>
        </w:rPr>
        <w:t xml:space="preserve">Parcourir et acheter des produits (pôle Marché)</w:t>
      </w:r>
    </w:p>
    <w:p>
      <w:pPr>
        <w:pStyle w:val="ListParagraph"/>
        <w:numPr>
          <w:ilvl w:val="0"/>
          <w:numId w:val="2"/>
        </w:numPr>
        <w:spacing w:after="80"/>
      </w:pPr>
      <w:r>
        <w:rPr>
          <w:rFonts w:ascii="Arial" w:cs="Arial" w:eastAsia="Arial" w:hAnsi="Arial"/>
          <w:sz w:val="22"/>
          <w:szCs w:val="22"/>
        </w:rPr>
        <w:t xml:space="preserve">Écouter de la musique et créer des playlists (pôle Musique)</w:t>
      </w:r>
    </w:p>
    <w:p>
      <w:pPr>
        <w:pStyle w:val="ListParagraph"/>
        <w:numPr>
          <w:ilvl w:val="0"/>
          <w:numId w:val="2"/>
        </w:numPr>
        <w:spacing w:after="80"/>
      </w:pPr>
      <w:r>
        <w:rPr>
          <w:rFonts w:ascii="Arial" w:cs="Arial" w:eastAsia="Arial" w:hAnsi="Arial"/>
          <w:sz w:val="22"/>
          <w:szCs w:val="22"/>
        </w:rPr>
        <w:t xml:space="preserve">Consulter son tableau de bord et ses notifications</w:t>
      </w:r>
    </w:p>
    <w:p>
      <w:pPr>
        <w:pStyle w:val="Heading2"/>
        <w:spacing w:after="160" w:before="280"/>
      </w:pPr>
      <w:r>
        <w:rPr>
          <w:rFonts w:ascii="Arial" w:cs="Arial" w:eastAsia="Arial" w:hAnsi="Arial"/>
          <w:b/>
          <w:bCs/>
          <w:color w:val="4A2D8B"/>
          <w:sz w:val="26"/>
          <w:szCs w:val="26"/>
        </w:rPr>
        <w:t xml:space="preserve">10.2 Acteur : Professionnel</w:t>
      </w:r>
    </w:p>
    <w:p>
      <w:pPr>
        <w:spacing w:after="160" w:line="276"/>
        <w:jc w:val="both"/>
      </w:pPr>
      <w:r>
        <w:rPr>
          <w:rFonts w:ascii="Arial" w:cs="Arial" w:eastAsia="Arial" w:hAnsi="Arial"/>
          <w:b w:val="false"/>
          <w:bCs w:val="false"/>
          <w:i w:val="false"/>
          <w:iCs w:val="false"/>
          <w:sz w:val="22"/>
          <w:szCs w:val="22"/>
        </w:rPr>
        <w:t xml:space="preserve">Le Professionnel hérite de toutes les fonctionnalités du Citoyen, avec des cas d'utilisation additionnels liés à la production de valeur :</w:t>
      </w:r>
    </w:p>
    <w:p>
      <w:pPr>
        <w:pStyle w:val="ListParagraph"/>
        <w:numPr>
          <w:ilvl w:val="0"/>
          <w:numId w:val="2"/>
        </w:numPr>
        <w:spacing w:after="80"/>
      </w:pPr>
      <w:r>
        <w:rPr>
          <w:rFonts w:ascii="Arial" w:cs="Arial" w:eastAsia="Arial" w:hAnsi="Arial"/>
          <w:sz w:val="22"/>
          <w:szCs w:val="22"/>
        </w:rPr>
        <w:t xml:space="preserve">Publier une formation (formateur — pôle Éducation)</w:t>
      </w:r>
    </w:p>
    <w:p>
      <w:pPr>
        <w:pStyle w:val="ListParagraph"/>
        <w:numPr>
          <w:ilvl w:val="0"/>
          <w:numId w:val="2"/>
        </w:numPr>
        <w:spacing w:after="80"/>
      </w:pPr>
      <w:r>
        <w:rPr>
          <w:rFonts w:ascii="Arial" w:cs="Arial" w:eastAsia="Arial" w:hAnsi="Arial"/>
          <w:sz w:val="22"/>
          <w:szCs w:val="22"/>
        </w:rPr>
        <w:t xml:space="preserve">Créer une boutique et publier des produits (vendeur — pôle Marché)</w:t>
      </w:r>
    </w:p>
    <w:p>
      <w:pPr>
        <w:pStyle w:val="ListParagraph"/>
        <w:numPr>
          <w:ilvl w:val="0"/>
          <w:numId w:val="2"/>
        </w:numPr>
        <w:spacing w:after="80"/>
      </w:pPr>
      <w:r>
        <w:rPr>
          <w:rFonts w:ascii="Arial" w:cs="Arial" w:eastAsia="Arial" w:hAnsi="Arial"/>
          <w:sz w:val="22"/>
          <w:szCs w:val="22"/>
        </w:rPr>
        <w:t xml:space="preserve">Publier des morceaux et consulter les statistiques d'écoute (artiste — pôle Musique)</w:t>
      </w:r>
    </w:p>
    <w:p>
      <w:pPr>
        <w:pStyle w:val="ListParagraph"/>
        <w:numPr>
          <w:ilvl w:val="0"/>
          <w:numId w:val="2"/>
        </w:numPr>
        <w:spacing w:after="80"/>
      </w:pPr>
      <w:r>
        <w:rPr>
          <w:rFonts w:ascii="Arial" w:cs="Arial" w:eastAsia="Arial" w:hAnsi="Arial"/>
          <w:sz w:val="22"/>
          <w:szCs w:val="22"/>
        </w:rPr>
        <w:t xml:space="preserve">Consulter ses revenus et l'historique des commissions prélevées</w:t>
      </w:r>
    </w:p>
    <w:p>
      <w:pPr>
        <w:pStyle w:val="Heading2"/>
        <w:spacing w:after="160" w:before="280"/>
      </w:pPr>
      <w:r>
        <w:rPr>
          <w:rFonts w:ascii="Arial" w:cs="Arial" w:eastAsia="Arial" w:hAnsi="Arial"/>
          <w:b/>
          <w:bCs/>
          <w:color w:val="4A2D8B"/>
          <w:sz w:val="26"/>
          <w:szCs w:val="26"/>
        </w:rPr>
        <w:t xml:space="preserve">10.3 Acteur : Administrateur</w:t>
      </w:r>
    </w:p>
    <w:p>
      <w:pPr>
        <w:spacing w:after="160" w:line="276"/>
        <w:jc w:val="both"/>
      </w:pPr>
      <w:r>
        <w:rPr>
          <w:rFonts w:ascii="Arial" w:cs="Arial" w:eastAsia="Arial" w:hAnsi="Arial"/>
          <w:b w:val="false"/>
          <w:bCs w:val="false"/>
          <w:i w:val="false"/>
          <w:iCs w:val="false"/>
          <w:sz w:val="22"/>
          <w:szCs w:val="22"/>
        </w:rPr>
        <w:t xml:space="preserve">L'Administrateur gère la plateforme dans son ensemble :</w:t>
      </w:r>
    </w:p>
    <w:p>
      <w:pPr>
        <w:pStyle w:val="ListParagraph"/>
        <w:numPr>
          <w:ilvl w:val="0"/>
          <w:numId w:val="2"/>
        </w:numPr>
        <w:spacing w:after="80"/>
      </w:pPr>
      <w:r>
        <w:rPr>
          <w:rFonts w:ascii="Arial" w:cs="Arial" w:eastAsia="Arial" w:hAnsi="Arial"/>
          <w:sz w:val="22"/>
          <w:szCs w:val="22"/>
        </w:rPr>
        <w:t xml:space="preserve">Superviser l'ensemble des pôles d'activités</w:t>
      </w:r>
    </w:p>
    <w:p>
      <w:pPr>
        <w:pStyle w:val="ListParagraph"/>
        <w:numPr>
          <w:ilvl w:val="0"/>
          <w:numId w:val="2"/>
        </w:numPr>
        <w:spacing w:after="80"/>
      </w:pPr>
      <w:r>
        <w:rPr>
          <w:rFonts w:ascii="Arial" w:cs="Arial" w:eastAsia="Arial" w:hAnsi="Arial"/>
          <w:sz w:val="22"/>
          <w:szCs w:val="22"/>
        </w:rPr>
        <w:t xml:space="preserve">Valider ou suspendre un compte Citoyen ou Professionnel</w:t>
      </w:r>
    </w:p>
    <w:p>
      <w:pPr>
        <w:pStyle w:val="ListParagraph"/>
        <w:numPr>
          <w:ilvl w:val="0"/>
          <w:numId w:val="2"/>
        </w:numPr>
        <w:spacing w:after="80"/>
      </w:pPr>
      <w:r>
        <w:rPr>
          <w:rFonts w:ascii="Arial" w:cs="Arial" w:eastAsia="Arial" w:hAnsi="Arial"/>
          <w:sz w:val="22"/>
          <w:szCs w:val="22"/>
        </w:rPr>
        <w:t xml:space="preserve">Configurer les taux de commission par pôle</w:t>
      </w:r>
    </w:p>
    <w:p>
      <w:pPr>
        <w:pStyle w:val="ListParagraph"/>
        <w:numPr>
          <w:ilvl w:val="0"/>
          <w:numId w:val="2"/>
        </w:numPr>
        <w:spacing w:after="80"/>
      </w:pPr>
      <w:r>
        <w:rPr>
          <w:rFonts w:ascii="Arial" w:cs="Arial" w:eastAsia="Arial" w:hAnsi="Arial"/>
          <w:sz w:val="22"/>
          <w:szCs w:val="22"/>
        </w:rPr>
        <w:t xml:space="preserve">Consulter les indicateurs globaux de la plateforme (tableau de bord de pilotage)</w:t>
      </w:r>
    </w:p>
    <w:p>
      <w:pPr>
        <w:pStyle w:val="ListParagraph"/>
        <w:numPr>
          <w:ilvl w:val="0"/>
          <w:numId w:val="2"/>
        </w:numPr>
        <w:spacing w:after="80"/>
      </w:pPr>
      <w:r>
        <w:rPr>
          <w:rFonts w:ascii="Arial" w:cs="Arial" w:eastAsia="Arial" w:hAnsi="Arial"/>
          <w:sz w:val="22"/>
          <w:szCs w:val="22"/>
        </w:rPr>
        <w:t xml:space="preserve">Gérer les contenus signalés et la modération</w:t>
      </w:r>
    </w:p>
    <w:p>
      <w:pPr>
        <w:spacing w:after="120"/>
      </w:pPr>
    </w:p>
    <w:p>
      <w:pPr>
        <w:spacing w:after="160" w:line="276"/>
        <w:jc w:val="both"/>
      </w:pPr>
      <w:r>
        <w:rPr>
          <w:rFonts w:ascii="Arial" w:cs="Arial" w:eastAsia="Arial" w:hAnsi="Arial"/>
          <w:b w:val="false"/>
          <w:bCs w:val="false"/>
          <w:i w:val="false"/>
          <w:iCs w:val="false"/>
          <w:sz w:val="22"/>
          <w:szCs w:val="22"/>
        </w:rPr>
        <w:t xml:space="preserve">Relations transverses : le cas d'utilisation « S'authentifier » est inclus (« include ») dans l'ensemble des cas d'utilisation nécessitant une session active. Le cas « Payer une commission » étend (« extend ») chaque transaction réalisée par un Professionnel sur un pôle marchand.</w:t>
      </w:r>
    </w:p>
    <w:p>
      <w:pPr>
        <w:pStyle w:val="Heading1"/>
        <w:pageBreakBefore/>
        <w:spacing w:after="200" w:before="360"/>
      </w:pPr>
      <w:r>
        <w:rPr>
          <w:rFonts w:ascii="Arial" w:cs="Arial" w:eastAsia="Arial" w:hAnsi="Arial"/>
          <w:b/>
          <w:bCs/>
          <w:color w:val="4A2D8B"/>
          <w:sz w:val="30"/>
          <w:szCs w:val="30"/>
        </w:rPr>
        <w:t xml:space="preserve">11. Architecture technique</w:t>
      </w:r>
    </w:p>
    <w:p>
      <w:pPr>
        <w:pStyle w:val="Heading2"/>
        <w:spacing w:after="160" w:before="280"/>
      </w:pPr>
      <w:r>
        <w:rPr>
          <w:rFonts w:ascii="Arial" w:cs="Arial" w:eastAsia="Arial" w:hAnsi="Arial"/>
          <w:b/>
          <w:bCs/>
          <w:color w:val="4A2D8B"/>
          <w:sz w:val="26"/>
          <w:szCs w:val="26"/>
        </w:rPr>
        <w:t xml:space="preserve">11.1 Vue d'ensemble de la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00"/>
      </w:tblGrid>
      <w:tr>
        <w:trPr>
          <w:tblHeader/>
        </w:trPr>
        <w:tc>
          <w:tcPr>
            <w:tcW w:type="dxa" w:w="20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Couche</w:t>
            </w:r>
          </w:p>
        </w:tc>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Technologie retenue</w:t>
            </w:r>
          </w:p>
        </w:tc>
        <w:tc>
          <w:tcPr>
            <w:tcW w:type="dxa" w:w="44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Rôle</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Frontend</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Angular + TypeScript</w:t>
            </w:r>
          </w:p>
        </w:tc>
        <w:tc>
          <w:tcPr>
            <w:tcW w:type="dxa" w:w="4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Interface utilisateur (SPA), consommation de l'API REST, gestion des routes et des pôles</w:t>
            </w:r>
          </w:p>
        </w:tc>
      </w:tr>
      <w:tr>
        <w:tc>
          <w:tcPr>
            <w:tcW w:type="dxa" w:w="20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Backend</w:t>
            </w:r>
          </w:p>
        </w:tc>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Node.js + Express.js</w:t>
            </w:r>
          </w:p>
        </w:tc>
        <w:tc>
          <w:tcPr>
            <w:tcW w:type="dxa" w:w="4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Exposition de l'API REST, logique métier, orchestration des pôles et des commissions</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Base de données documentaire</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MongoDB</w:t>
            </w:r>
          </w:p>
        </w:tc>
        <w:tc>
          <w:tcPr>
            <w:tcW w:type="dxa" w:w="4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Stockage des données semi-structurées : profils, contenus des pôles (cours, produits, morceaux)</w:t>
            </w:r>
          </w:p>
        </w:tc>
      </w:tr>
      <w:tr>
        <w:tc>
          <w:tcPr>
            <w:tcW w:type="dxa" w:w="20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Base de données relationnelle</w:t>
            </w:r>
          </w:p>
        </w:tc>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PostgreSQL</w:t>
            </w:r>
          </w:p>
        </w:tc>
        <w:tc>
          <w:tcPr>
            <w:tcW w:type="dxa" w:w="4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Stockage des données transactionnelles et sensibles : transactions, commissions, historique financier</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Authentification</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JWT + Bcrypt</w:t>
            </w:r>
          </w:p>
        </w:tc>
        <w:tc>
          <w:tcPr>
            <w:tcW w:type="dxa" w:w="4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Génération de jetons de session, hachage sécurisé des mots de passe</w:t>
            </w:r>
          </w:p>
        </w:tc>
      </w:tr>
      <w:tr>
        <w:tc>
          <w:tcPr>
            <w:tcW w:type="dxa" w:w="20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Versioning</w:t>
            </w:r>
          </w:p>
        </w:tc>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Git + GitHub</w:t>
            </w:r>
          </w:p>
        </w:tc>
        <w:tc>
          <w:tcPr>
            <w:tcW w:type="dxa" w:w="4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Gestion du code source, revue de code, intégration continue</w:t>
            </w:r>
          </w:p>
        </w:tc>
      </w:tr>
      <w:tr>
        <w:tc>
          <w:tcPr>
            <w:tcW w:type="dxa" w:w="20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Déploiement</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Docker + Cloud</w:t>
            </w:r>
          </w:p>
        </w:tc>
        <w:tc>
          <w:tcPr>
            <w:tcW w:type="dxa" w:w="4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Conteneurisation des services et hébergement sur infrastructure cloud</w:t>
            </w:r>
          </w:p>
        </w:tc>
      </w:tr>
    </w:tbl>
    <w:p>
      <w:pPr>
        <w:spacing w:after="120"/>
      </w:pPr>
    </w:p>
    <w:p>
      <w:pPr>
        <w:pStyle w:val="Heading2"/>
        <w:spacing w:after="160" w:before="280"/>
      </w:pPr>
      <w:r>
        <w:rPr>
          <w:rFonts w:ascii="Arial" w:cs="Arial" w:eastAsia="Arial" w:hAnsi="Arial"/>
          <w:b/>
          <w:bCs/>
          <w:color w:val="4A2D8B"/>
          <w:sz w:val="26"/>
          <w:szCs w:val="26"/>
        </w:rPr>
        <w:t xml:space="preserve">11.2 Communication entre les couches</w:t>
      </w:r>
    </w:p>
    <w:p>
      <w:pPr>
        <w:spacing w:after="160" w:line="276"/>
        <w:jc w:val="both"/>
      </w:pPr>
      <w:r>
        <w:rPr>
          <w:rFonts w:ascii="Arial" w:cs="Arial" w:eastAsia="Arial" w:hAnsi="Arial"/>
          <w:b w:val="false"/>
          <w:bCs w:val="false"/>
          <w:i w:val="false"/>
          <w:iCs w:val="false"/>
          <w:sz w:val="22"/>
          <w:szCs w:val="22"/>
        </w:rPr>
        <w:t xml:space="preserve">L'application Angular, exécutée côté navigateur, communique exclusivement avec le backend via des appels HTTPS à l'API REST exposée par Express.js. Chaque requête sensible embarque un jeton JWT dans son en-tête d'autorisation ; ce jeton est vérifié par un middleware d'authentification avant tout accès aux ressources protégées.</w:t>
      </w:r>
    </w:p>
    <w:p>
      <w:pPr>
        <w:spacing w:after="160" w:line="276"/>
        <w:jc w:val="both"/>
      </w:pPr>
      <w:r>
        <w:rPr>
          <w:rFonts w:ascii="Arial" w:cs="Arial" w:eastAsia="Arial" w:hAnsi="Arial"/>
          <w:b w:val="false"/>
          <w:bCs w:val="false"/>
          <w:i w:val="false"/>
          <w:iCs w:val="false"/>
          <w:sz w:val="22"/>
          <w:szCs w:val="22"/>
        </w:rPr>
        <w:t xml:space="preserve">Côté backend, Express.js organise la logique métier par pôle (Éducation, Marché, Musique, etc.) sous forme de modules indépendants, chacun exposant ses propres routes. Deux types de persistance sont utilisés selon la nature de la donnée :</w:t>
      </w:r>
    </w:p>
    <w:p>
      <w:pPr>
        <w:pStyle w:val="ListParagraph"/>
        <w:numPr>
          <w:ilvl w:val="0"/>
          <w:numId w:val="2"/>
        </w:numPr>
        <w:spacing w:after="80"/>
      </w:pPr>
      <w:r>
        <w:rPr>
          <w:rFonts w:ascii="Arial" w:cs="Arial" w:eastAsia="Arial" w:hAnsi="Arial"/>
          <w:sz w:val="22"/>
          <w:szCs w:val="22"/>
        </w:rPr>
        <w:t xml:space="preserve">MongoDB (via Mongoose) pour les contenus des pôles : cours, produits, morceaux, profils citoyens — données flexibles et à structure évolutive ;</w:t>
      </w:r>
    </w:p>
    <w:p>
      <w:pPr>
        <w:pStyle w:val="ListParagraph"/>
        <w:numPr>
          <w:ilvl w:val="0"/>
          <w:numId w:val="2"/>
        </w:numPr>
        <w:spacing w:after="80"/>
      </w:pPr>
      <w:r>
        <w:rPr>
          <w:rFonts w:ascii="Arial" w:cs="Arial" w:eastAsia="Arial" w:hAnsi="Arial"/>
          <w:sz w:val="22"/>
          <w:szCs w:val="22"/>
        </w:rPr>
        <w:t xml:space="preserve">PostgreSQL (via un ORM relationnel) pour les données transactionnelles : transactions, commissions, historique des paiements — données nécessitant l'intégrité relationnelle et la cohérence ACID.</w:t>
      </w:r>
    </w:p>
    <w:p>
      <w:pPr>
        <w:spacing w:after="160" w:line="276"/>
        <w:jc w:val="both"/>
      </w:pPr>
      <w:r>
        <w:rPr>
          <w:rFonts w:ascii="Arial" w:cs="Arial" w:eastAsia="Arial" w:hAnsi="Arial"/>
          <w:b w:val="false"/>
          <w:bCs w:val="false"/>
          <w:i w:val="false"/>
          <w:iCs w:val="false"/>
          <w:sz w:val="22"/>
          <w:szCs w:val="22"/>
        </w:rPr>
        <w:t xml:space="preserve">Les mots de passe sont hachés avec Bcrypt avant tout stockage. Les échanges de données financières et personnelles transitent uniquement via des connexions chiffrées (HTTPS/TLS).</w:t>
      </w:r>
    </w:p>
    <w:p>
      <w:pPr>
        <w:pStyle w:val="Heading2"/>
        <w:spacing w:after="160" w:before="280"/>
      </w:pPr>
      <w:r>
        <w:rPr>
          <w:rFonts w:ascii="Arial" w:cs="Arial" w:eastAsia="Arial" w:hAnsi="Arial"/>
          <w:b/>
          <w:bCs/>
          <w:color w:val="4A2D8B"/>
          <w:sz w:val="26"/>
          <w:szCs w:val="26"/>
        </w:rPr>
        <w:t xml:space="preserve">11.3 Déploiement</w:t>
      </w:r>
    </w:p>
    <w:p>
      <w:pPr>
        <w:spacing w:after="160" w:line="276"/>
        <w:jc w:val="both"/>
      </w:pPr>
      <w:r>
        <w:rPr>
          <w:rFonts w:ascii="Arial" w:cs="Arial" w:eastAsia="Arial" w:hAnsi="Arial"/>
          <w:b w:val="false"/>
          <w:bCs w:val="false"/>
          <w:i w:val="false"/>
          <w:iCs w:val="false"/>
          <w:sz w:val="22"/>
          <w:szCs w:val="22"/>
        </w:rPr>
        <w:t xml:space="preserve">Chaque service (frontend, backend, bases de données) est packagé sous forme d'image Docker. Le code est versionné sur GitHub, avec une intégration continue déclenchant automatiquement la construction des images et leur déploiement sur l'infrastructure cloud retenue. Cette approche garantit la reproductibilité des environnements et facilite la montée en charge horizontale des services backend.</w:t>
      </w:r>
    </w:p>
    <w:p>
      <w:pPr>
        <w:pStyle w:val="Heading1"/>
        <w:pageBreakBefore/>
        <w:spacing w:after="200" w:before="360"/>
      </w:pPr>
      <w:r>
        <w:rPr>
          <w:rFonts w:ascii="Arial" w:cs="Arial" w:eastAsia="Arial" w:hAnsi="Arial"/>
          <w:b/>
          <w:bCs/>
          <w:color w:val="4A2D8B"/>
          <w:sz w:val="30"/>
          <w:szCs w:val="30"/>
        </w:rPr>
        <w:t xml:space="preserve">12. Business Model Canvas</w:t>
      </w:r>
    </w:p>
    <w:p>
      <w:pPr>
        <w:spacing w:after="160" w:line="276"/>
        <w:jc w:val="both"/>
      </w:pPr>
      <w:r>
        <w:rPr>
          <w:rFonts w:ascii="Arial" w:cs="Arial" w:eastAsia="Arial" w:hAnsi="Arial"/>
          <w:b w:val="false"/>
          <w:bCs w:val="false"/>
          <w:i w:val="false"/>
          <w:iCs w:val="false"/>
          <w:sz w:val="22"/>
          <w:szCs w:val="22"/>
        </w:rPr>
        <w:t xml:space="preserve">Le Business Model Canvas ci-dessous synthétise le modèle économique de KOFIS 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Partenaires clés</w:t>
            </w:r>
          </w:p>
          <w:p>
            <w:pPr>
              <w:spacing w:after="40"/>
            </w:pPr>
            <w:r>
              <w:rPr>
                <w:rFonts w:ascii="Arial" w:cs="Arial" w:eastAsia="Arial" w:hAnsi="Arial"/>
                <w:sz w:val="18"/>
                <w:szCs w:val="18"/>
              </w:rPr>
              <w:t xml:space="preserve">• Universités et écoles (UCAD, UGB, UGA…) pour le pôle Éducation</w:t>
            </w:r>
          </w:p>
          <w:p>
            <w:pPr>
              <w:spacing w:after="40"/>
            </w:pPr>
            <w:r>
              <w:rPr>
                <w:rFonts w:ascii="Arial" w:cs="Arial" w:eastAsia="Arial" w:hAnsi="Arial"/>
                <w:sz w:val="18"/>
                <w:szCs w:val="18"/>
              </w:rPr>
              <w:t xml:space="preserve">• Établissements bancaires et fintechs pour les paiements</w:t>
            </w:r>
          </w:p>
          <w:p>
            <w:pPr>
              <w:spacing w:after="40"/>
            </w:pPr>
            <w:r>
              <w:rPr>
                <w:rFonts w:ascii="Arial" w:cs="Arial" w:eastAsia="Arial" w:hAnsi="Arial"/>
                <w:sz w:val="18"/>
                <w:szCs w:val="18"/>
              </w:rPr>
              <w:t xml:space="preserve">• Fournisseurs cloud (hébergement, infrastructure)</w:t>
            </w:r>
          </w:p>
          <w:p>
            <w:pPr>
              <w:spacing w:after="40"/>
            </w:pPr>
            <w:r>
              <w:rPr>
                <w:rFonts w:ascii="Arial" w:cs="Arial" w:eastAsia="Arial" w:hAnsi="Arial"/>
                <w:sz w:val="18"/>
                <w:szCs w:val="18"/>
              </w:rPr>
              <w:t xml:space="preserve">• Artistes, labels et écoles de musique</w:t>
            </w:r>
          </w:p>
          <w:p>
            <w:pPr>
              <w:spacing w:after="40"/>
            </w:pPr>
            <w:r>
              <w:rPr>
                <w:rFonts w:ascii="Arial" w:cs="Arial" w:eastAsia="Arial" w:hAnsi="Arial"/>
                <w:sz w:val="18"/>
                <w:szCs w:val="18"/>
              </w:rPr>
              <w:t xml:space="preserve">• Incubateurs et structures d'accompagnement à l'entrepreneuriat</w:t>
            </w:r>
          </w:p>
          <w:p>
            <w:pPr>
              <w:spacing w:after="40"/>
            </w:pPr>
            <w:r>
              <w:rPr>
                <w:rFonts w:ascii="Arial" w:cs="Arial" w:eastAsia="Arial" w:hAnsi="Arial"/>
                <w:sz w:val="18"/>
                <w:szCs w:val="18"/>
              </w:rPr>
              <w:t xml:space="preserve">• Autorités de régulation numérique et protection des données</w:t>
            </w:r>
          </w:p>
        </w:tc>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Activités clés</w:t>
            </w:r>
          </w:p>
          <w:p>
            <w:pPr>
              <w:spacing w:after="40"/>
            </w:pPr>
            <w:r>
              <w:rPr>
                <w:rFonts w:ascii="Arial" w:cs="Arial" w:eastAsia="Arial" w:hAnsi="Arial"/>
                <w:sz w:val="18"/>
                <w:szCs w:val="18"/>
              </w:rPr>
              <w:t xml:space="preserve">• Développement et maintenance de la plateforme</w:t>
            </w:r>
          </w:p>
          <w:p>
            <w:pPr>
              <w:spacing w:after="40"/>
            </w:pPr>
            <w:r>
              <w:rPr>
                <w:rFonts w:ascii="Arial" w:cs="Arial" w:eastAsia="Arial" w:hAnsi="Arial"/>
                <w:sz w:val="18"/>
                <w:szCs w:val="18"/>
              </w:rPr>
              <w:t xml:space="preserve">• Animation des pôles d'activités</w:t>
            </w:r>
          </w:p>
          <w:p>
            <w:pPr>
              <w:spacing w:after="40"/>
            </w:pPr>
            <w:r>
              <w:rPr>
                <w:rFonts w:ascii="Arial" w:cs="Arial" w:eastAsia="Arial" w:hAnsi="Arial"/>
                <w:sz w:val="18"/>
                <w:szCs w:val="18"/>
              </w:rPr>
              <w:t xml:space="preserve">• Gestion des commissions</w:t>
            </w:r>
          </w:p>
          <w:p>
            <w:pPr>
              <w:spacing w:after="40"/>
            </w:pPr>
            <w:r>
              <w:rPr>
                <w:rFonts w:ascii="Arial" w:cs="Arial" w:eastAsia="Arial" w:hAnsi="Arial"/>
                <w:sz w:val="18"/>
                <w:szCs w:val="18"/>
              </w:rPr>
              <w:t xml:space="preserve">• Modération et support</w:t>
            </w:r>
          </w:p>
        </w:tc>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Proposition de valeur</w:t>
            </w:r>
          </w:p>
          <w:p>
            <w:pPr>
              <w:spacing w:after="40"/>
            </w:pPr>
            <w:r>
              <w:rPr>
                <w:rFonts w:ascii="Arial" w:cs="Arial" w:eastAsia="Arial" w:hAnsi="Arial"/>
                <w:sz w:val="18"/>
                <w:szCs w:val="18"/>
              </w:rPr>
              <w:t xml:space="preserve">• Une identité numérique unique (Passeport KOFIS)</w:t>
            </w:r>
          </w:p>
          <w:p>
            <w:pPr>
              <w:spacing w:after="40"/>
            </w:pPr>
            <w:r>
              <w:rPr>
                <w:rFonts w:ascii="Arial" w:cs="Arial" w:eastAsia="Arial" w:hAnsi="Arial"/>
                <w:sz w:val="18"/>
                <w:szCs w:val="18"/>
              </w:rPr>
              <w:t xml:space="preserve">• Un accès gratuit à des services multiples et unifiés</w:t>
            </w:r>
          </w:p>
          <w:p>
            <w:pPr>
              <w:spacing w:after="40"/>
            </w:pPr>
            <w:r>
              <w:rPr>
                <w:rFonts w:ascii="Arial" w:cs="Arial" w:eastAsia="Arial" w:hAnsi="Arial"/>
                <w:sz w:val="18"/>
                <w:szCs w:val="18"/>
              </w:rPr>
              <w:t xml:space="preserve">• Une rémunération transparente pour les créateurs de valeur</w:t>
            </w:r>
          </w:p>
        </w:tc>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Relation clients</w:t>
            </w:r>
          </w:p>
          <w:p>
            <w:pPr>
              <w:spacing w:after="40"/>
            </w:pPr>
            <w:r>
              <w:rPr>
                <w:rFonts w:ascii="Arial" w:cs="Arial" w:eastAsia="Arial" w:hAnsi="Arial"/>
                <w:sz w:val="18"/>
                <w:szCs w:val="18"/>
              </w:rPr>
              <w:t xml:space="preserve">• Support en ligne</w:t>
            </w:r>
          </w:p>
          <w:p>
            <w:pPr>
              <w:spacing w:after="40"/>
            </w:pPr>
            <w:r>
              <w:rPr>
                <w:rFonts w:ascii="Arial" w:cs="Arial" w:eastAsia="Arial" w:hAnsi="Arial"/>
                <w:sz w:val="18"/>
                <w:szCs w:val="18"/>
              </w:rPr>
              <w:t xml:space="preserve">• Communauté et forums par pôle</w:t>
            </w:r>
          </w:p>
          <w:p>
            <w:pPr>
              <w:spacing w:after="40"/>
            </w:pPr>
            <w:r>
              <w:rPr>
                <w:rFonts w:ascii="Arial" w:cs="Arial" w:eastAsia="Arial" w:hAnsi="Arial"/>
                <w:sz w:val="18"/>
                <w:szCs w:val="18"/>
              </w:rPr>
              <w:t xml:space="preserve">• Notifications personnalisées</w:t>
            </w:r>
          </w:p>
        </w:tc>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Segments clients</w:t>
            </w:r>
          </w:p>
          <w:p>
            <w:pPr>
              <w:spacing w:after="40"/>
            </w:pPr>
            <w:r>
              <w:rPr>
                <w:rFonts w:ascii="Arial" w:cs="Arial" w:eastAsia="Arial" w:hAnsi="Arial"/>
                <w:sz w:val="18"/>
                <w:szCs w:val="18"/>
              </w:rPr>
              <w:t xml:space="preserve">• Citoyens (apprenants, acheteurs, auditeurs)</w:t>
            </w:r>
          </w:p>
          <w:p>
            <w:pPr>
              <w:spacing w:after="40"/>
            </w:pPr>
            <w:r>
              <w:rPr>
                <w:rFonts w:ascii="Arial" w:cs="Arial" w:eastAsia="Arial" w:hAnsi="Arial"/>
                <w:sz w:val="18"/>
                <w:szCs w:val="18"/>
              </w:rPr>
              <w:t xml:space="preserve">• Professionnels (formateurs, vendeurs, artistes)</w:t>
            </w:r>
          </w:p>
          <w:p>
            <w:pPr>
              <w:spacing w:after="40"/>
            </w:pPr>
            <w:r>
              <w:rPr>
                <w:rFonts w:ascii="Arial" w:cs="Arial" w:eastAsia="Arial" w:hAnsi="Arial"/>
                <w:sz w:val="18"/>
                <w:szCs w:val="18"/>
              </w:rPr>
              <w:t xml:space="preserve">• Institutions partenaires</w:t>
            </w:r>
          </w:p>
        </w:tc>
      </w:tr>
      <w:tr>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Ressources clés</w:t>
            </w:r>
          </w:p>
          <w:p>
            <w:pPr>
              <w:spacing w:after="40"/>
            </w:pPr>
            <w:r>
              <w:rPr>
                <w:rFonts w:ascii="Arial" w:cs="Arial" w:eastAsia="Arial" w:hAnsi="Arial"/>
                <w:sz w:val="18"/>
                <w:szCs w:val="18"/>
              </w:rPr>
              <w:t xml:space="preserve">• Équipe technique et fondatrice</w:t>
            </w:r>
          </w:p>
          <w:p>
            <w:pPr>
              <w:spacing w:after="40"/>
            </w:pPr>
            <w:r>
              <w:rPr>
                <w:rFonts w:ascii="Arial" w:cs="Arial" w:eastAsia="Arial" w:hAnsi="Arial"/>
                <w:sz w:val="18"/>
                <w:szCs w:val="18"/>
              </w:rPr>
              <w:t xml:space="preserve">• Plateforme logicielle (frontend, backend, bases de données)</w:t>
            </w:r>
          </w:p>
          <w:p>
            <w:pPr>
              <w:spacing w:after="40"/>
            </w:pPr>
            <w:r>
              <w:rPr>
                <w:rFonts w:ascii="Arial" w:cs="Arial" w:eastAsia="Arial" w:hAnsi="Arial"/>
                <w:sz w:val="18"/>
                <w:szCs w:val="18"/>
              </w:rPr>
              <w:t xml:space="preserve">• Infrastructure cloud</w:t>
            </w:r>
          </w:p>
        </w:tc>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Canaux</w:t>
            </w:r>
          </w:p>
          <w:p>
            <w:pPr>
              <w:spacing w:after="40"/>
            </w:pPr>
            <w:r>
              <w:rPr>
                <w:rFonts w:ascii="Arial" w:cs="Arial" w:eastAsia="Arial" w:hAnsi="Arial"/>
                <w:sz w:val="18"/>
                <w:szCs w:val="18"/>
              </w:rPr>
              <w:t xml:space="preserve">• Application web responsive</w:t>
            </w:r>
          </w:p>
          <w:p>
            <w:pPr>
              <w:spacing w:after="40"/>
            </w:pPr>
            <w:r>
              <w:rPr>
                <w:rFonts w:ascii="Arial" w:cs="Arial" w:eastAsia="Arial" w:hAnsi="Arial"/>
                <w:sz w:val="18"/>
                <w:szCs w:val="18"/>
              </w:rPr>
              <w:t xml:space="preserve">• Réseaux sociaux et bouche-à-oreille</w:t>
            </w:r>
          </w:p>
          <w:p>
            <w:pPr>
              <w:spacing w:after="40"/>
            </w:pPr>
            <w:r>
              <w:rPr>
                <w:rFonts w:ascii="Arial" w:cs="Arial" w:eastAsia="Arial" w:hAnsi="Arial"/>
                <w:sz w:val="18"/>
                <w:szCs w:val="18"/>
              </w:rPr>
              <w:t xml:space="preserve">• Partenariats institutionnels</w:t>
            </w:r>
          </w:p>
        </w:tc>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Structure de coûts</w:t>
            </w:r>
          </w:p>
          <w:p>
            <w:pPr>
              <w:spacing w:after="40"/>
            </w:pPr>
            <w:r>
              <w:rPr>
                <w:rFonts w:ascii="Arial" w:cs="Arial" w:eastAsia="Arial" w:hAnsi="Arial"/>
                <w:sz w:val="18"/>
                <w:szCs w:val="18"/>
              </w:rPr>
              <w:t xml:space="preserve">• Développement et hébergement</w:t>
            </w:r>
          </w:p>
          <w:p>
            <w:pPr>
              <w:spacing w:after="40"/>
            </w:pPr>
            <w:r>
              <w:rPr>
                <w:rFonts w:ascii="Arial" w:cs="Arial" w:eastAsia="Arial" w:hAnsi="Arial"/>
                <w:sz w:val="18"/>
                <w:szCs w:val="18"/>
              </w:rPr>
              <w:t xml:space="preserve">• Support et modération</w:t>
            </w:r>
          </w:p>
          <w:p>
            <w:pPr>
              <w:spacing w:after="40"/>
            </w:pPr>
            <w:r>
              <w:rPr>
                <w:rFonts w:ascii="Arial" w:cs="Arial" w:eastAsia="Arial" w:hAnsi="Arial"/>
                <w:sz w:val="18"/>
                <w:szCs w:val="18"/>
              </w:rPr>
              <w:t xml:space="preserve">• Marketing et acquisition</w:t>
            </w:r>
          </w:p>
        </w:tc>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Flux de revenus</w:t>
            </w:r>
          </w:p>
          <w:p>
            <w:pPr>
              <w:spacing w:after="40"/>
            </w:pPr>
            <w:r>
              <w:rPr>
                <w:rFonts w:ascii="Arial" w:cs="Arial" w:eastAsia="Arial" w:hAnsi="Arial"/>
                <w:sz w:val="18"/>
                <w:szCs w:val="18"/>
              </w:rPr>
              <w:t xml:space="preserve">• Commissions sur les transactions par pôle (impôts virtuels)</w:t>
            </w:r>
          </w:p>
          <w:p>
            <w:pPr>
              <w:spacing w:after="40"/>
            </w:pPr>
            <w:r>
              <w:rPr>
                <w:rFonts w:ascii="Arial" w:cs="Arial" w:eastAsia="Arial" w:hAnsi="Arial"/>
                <w:sz w:val="18"/>
                <w:szCs w:val="18"/>
              </w:rPr>
              <w:t xml:space="preserve">• Services premium futurs</w:t>
            </w:r>
          </w:p>
          <w:p>
            <w:pPr>
              <w:spacing w:after="40"/>
            </w:pPr>
            <w:r>
              <w:rPr>
                <w:rFonts w:ascii="Arial" w:cs="Arial" w:eastAsia="Arial" w:hAnsi="Arial"/>
                <w:sz w:val="18"/>
                <w:szCs w:val="18"/>
              </w:rPr>
              <w:t xml:space="preserve">• Partenariats sponsorisés</w:t>
            </w:r>
          </w:p>
        </w:tc>
        <w:tc>
          <w:tcPr>
            <w:tcW w:type="dxa" w:w="3000"/>
            <w:shd w:fill="EDE7F6" w:val="clear"/>
            <w:tcMar>
              <w:top w:type="dxa" w:w="100"/>
              <w:left w:type="dxa" w:w="120"/>
              <w:bottom w:type="dxa" w:w="100"/>
              <w:right w:type="dxa" w:w="120"/>
            </w:tcMar>
          </w:tcPr>
          <w:p>
            <w:pPr>
              <w:spacing w:after="80"/>
            </w:pPr>
            <w:r>
              <w:rPr>
                <w:rFonts w:ascii="Arial" w:cs="Arial" w:eastAsia="Arial" w:hAnsi="Arial"/>
                <w:b/>
                <w:bCs/>
                <w:color w:val="4A2D8B"/>
                <w:sz w:val="20"/>
                <w:szCs w:val="20"/>
              </w:rPr>
              <w:t xml:space="preserve"/>
            </w:r>
          </w:p>
        </w:tc>
      </w:tr>
    </w:tbl>
    <w:p>
      <w:pPr>
        <w:pStyle w:val="Heading1"/>
        <w:pageBreakBefore/>
        <w:spacing w:after="200" w:before="360"/>
      </w:pPr>
      <w:r>
        <w:rPr>
          <w:rFonts w:ascii="Arial" w:cs="Arial" w:eastAsia="Arial" w:hAnsi="Arial"/>
          <w:b/>
          <w:bCs/>
          <w:color w:val="4A2D8B"/>
          <w:sz w:val="30"/>
          <w:szCs w:val="30"/>
        </w:rPr>
        <w:t xml:space="preserve">13. Modèle de données initial</w:t>
      </w:r>
    </w:p>
    <w:p>
      <w:pPr>
        <w:spacing w:after="160" w:line="276"/>
        <w:jc w:val="both"/>
      </w:pPr>
      <w:r>
        <w:rPr>
          <w:rFonts w:ascii="Arial" w:cs="Arial" w:eastAsia="Arial" w:hAnsi="Arial"/>
          <w:b w:val="false"/>
          <w:bCs w:val="false"/>
          <w:i w:val="false"/>
          <w:iCs w:val="false"/>
          <w:sz w:val="22"/>
          <w:szCs w:val="22"/>
        </w:rPr>
        <w:t xml:space="preserve">Le modèle de données ci-dessous présente les entités principales de KOFIS City et leurs relations, réparties entre MongoDB (contenus des pôles) et PostgreSQL (transactions).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600"/>
        <w:gridCol w:w="2400"/>
      </w:tblGrid>
      <w:tr>
        <w:trPr>
          <w:tblHeader/>
        </w:trPr>
        <w:tc>
          <w:tcPr>
            <w:tcW w:type="dxa" w:w="17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Entité</w:t>
            </w:r>
          </w:p>
        </w:tc>
        <w:tc>
          <w:tcPr>
            <w:tcW w:type="dxa" w:w="13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Stockage</w:t>
            </w:r>
          </w:p>
        </w:tc>
        <w:tc>
          <w:tcPr>
            <w:tcW w:type="dxa" w:w="3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Attributs principaux</w:t>
            </w:r>
          </w:p>
        </w:tc>
        <w:tc>
          <w:tcPr>
            <w:tcW w:type="dxa" w:w="24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Relations</w:t>
            </w:r>
          </w:p>
        </w:tc>
      </w:tr>
      <w:tr>
        <w:tc>
          <w:tcPr>
            <w:tcW w:type="dxa" w:w="1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Utilisateur</w:t>
            </w:r>
          </w:p>
        </w:tc>
        <w:tc>
          <w:tcPr>
            <w:tcW w:type="dxa" w:w="13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MongoDB</w:t>
            </w:r>
          </w:p>
        </w:tc>
        <w:tc>
          <w:tcPr>
            <w:tcW w:type="dxa" w:w="3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id, nom, email, motDePasseHash, rôle, dateInscription</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1 Utilisateur → 1 PasseportKOFIS</w:t>
            </w:r>
          </w:p>
        </w:tc>
      </w:tr>
      <w:tr>
        <w:tc>
          <w:tcPr>
            <w:tcW w:type="dxa" w:w="1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PasseportKOFIS</w:t>
            </w:r>
          </w:p>
        </w:tc>
        <w:tc>
          <w:tcPr>
            <w:tcW w:type="dxa" w:w="13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MongoDB</w:t>
            </w:r>
          </w:p>
        </w:tc>
        <w:tc>
          <w:tcPr>
            <w:tcW w:type="dxa" w:w="3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id, idUtilisateur, numéroPasseport, dateDélivrance, statut</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1 PasseportKOFIS → 1 Utilisateur</w:t>
            </w:r>
          </w:p>
        </w:tc>
      </w:tr>
      <w:tr>
        <w:tc>
          <w:tcPr>
            <w:tcW w:type="dxa" w:w="1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Pôle</w:t>
            </w:r>
          </w:p>
        </w:tc>
        <w:tc>
          <w:tcPr>
            <w:tcW w:type="dxa" w:w="13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MongoDB</w:t>
            </w:r>
          </w:p>
        </w:tc>
        <w:tc>
          <w:tcPr>
            <w:tcW w:type="dxa" w:w="3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id, nom, catégorie, description</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1 Pôle → N Activités</w:t>
            </w:r>
          </w:p>
        </w:tc>
      </w:tr>
      <w:tr>
        <w:tc>
          <w:tcPr>
            <w:tcW w:type="dxa" w:w="1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Activité</w:t>
            </w:r>
          </w:p>
        </w:tc>
        <w:tc>
          <w:tcPr>
            <w:tcW w:type="dxa" w:w="13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MongoDB</w:t>
            </w:r>
          </w:p>
        </w:tc>
        <w:tc>
          <w:tcPr>
            <w:tcW w:type="dxa" w:w="3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id, idPôle, idAuteur, titre, type, prix</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1 Activité → N Transactions</w:t>
            </w:r>
          </w:p>
        </w:tc>
      </w:tr>
      <w:tr>
        <w:tc>
          <w:tcPr>
            <w:tcW w:type="dxa" w:w="1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Transaction</w:t>
            </w:r>
          </w:p>
        </w:tc>
        <w:tc>
          <w:tcPr>
            <w:tcW w:type="dxa" w:w="13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PostgreSQL</w:t>
            </w:r>
          </w:p>
        </w:tc>
        <w:tc>
          <w:tcPr>
            <w:tcW w:type="dxa" w:w="3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id, idActivité, idAcheteur, idVendeur, montant, date, statut</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1 Transaction → 1 Commission</w:t>
            </w:r>
          </w:p>
        </w:tc>
      </w:tr>
      <w:tr>
        <w:tc>
          <w:tcPr>
            <w:tcW w:type="dxa" w:w="17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Commission</w:t>
            </w:r>
          </w:p>
        </w:tc>
        <w:tc>
          <w:tcPr>
            <w:tcW w:type="dxa" w:w="13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PostgreSQL</w:t>
            </w:r>
          </w:p>
        </w:tc>
        <w:tc>
          <w:tcPr>
            <w:tcW w:type="dxa" w:w="3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id, idTransaction, tauxAppliqué, montantPrélevé, date</w:t>
            </w:r>
          </w:p>
        </w:tc>
        <w:tc>
          <w:tcPr>
            <w:tcW w:type="dxa" w:w="2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1 Commission → 1 Transaction</w:t>
            </w:r>
          </w:p>
        </w:tc>
      </w:tr>
      <w:tr>
        <w:tc>
          <w:tcPr>
            <w:tcW w:type="dxa" w:w="17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Notification</w:t>
            </w:r>
          </w:p>
        </w:tc>
        <w:tc>
          <w:tcPr>
            <w:tcW w:type="dxa" w:w="13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MongoDB</w:t>
            </w:r>
          </w:p>
        </w:tc>
        <w:tc>
          <w:tcPr>
            <w:tcW w:type="dxa" w:w="3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id, idUtilisateur, type, contenu, dateEnvoi, lu</w:t>
            </w:r>
          </w:p>
        </w:tc>
        <w:tc>
          <w:tcPr>
            <w:tcW w:type="dxa" w:w="2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N Notifications → 1 Utilisateur</w:t>
            </w:r>
          </w:p>
        </w:tc>
      </w:tr>
    </w:tbl>
    <w:p>
      <w:pPr>
        <w:pStyle w:val="Heading1"/>
        <w:pageBreakBefore/>
        <w:spacing w:after="200" w:before="360"/>
      </w:pPr>
      <w:r>
        <w:rPr>
          <w:rFonts w:ascii="Arial" w:cs="Arial" w:eastAsia="Arial" w:hAnsi="Arial"/>
          <w:b/>
          <w:bCs/>
          <w:color w:val="4A2D8B"/>
          <w:sz w:val="30"/>
          <w:szCs w:val="30"/>
        </w:rPr>
        <w:t xml:space="preserve">14. Roadmap</w:t>
      </w:r>
    </w:p>
    <w:p>
      <w:pPr>
        <w:spacing w:after="160" w:line="276"/>
        <w:jc w:val="both"/>
      </w:pPr>
      <w:r>
        <w:rPr>
          <w:rFonts w:ascii="Arial" w:cs="Arial" w:eastAsia="Arial" w:hAnsi="Arial"/>
          <w:b w:val="false"/>
          <w:bCs w:val="false"/>
          <w:i w:val="false"/>
          <w:iCs w:val="false"/>
          <w:sz w:val="22"/>
          <w:szCs w:val="22"/>
        </w:rPr>
        <w:t xml:space="preserve">La feuille de route du projet s'articule en 5 phases, à partir de juillet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rPr>
          <w:tblHeader/>
        </w:trPr>
        <w:tc>
          <w:tcPr>
            <w:tcW w:type="dxa" w:w="32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Phase</w:t>
            </w:r>
          </w:p>
        </w:tc>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Période</w:t>
            </w:r>
          </w:p>
        </w:tc>
        <w:tc>
          <w:tcPr>
            <w:tcW w:type="dxa" w:w="32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Contenu principal</w:t>
            </w:r>
          </w:p>
        </w:tc>
      </w:tr>
      <w:tr>
        <w:tc>
          <w:tcPr>
            <w:tcW w:type="dxa" w:w="3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Phase 1 — Conception &amp; Cadrage</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Juillet 2026 – Septembre 2026</w:t>
            </w:r>
          </w:p>
        </w:tc>
        <w:tc>
          <w:tcPr>
            <w:tcW w:type="dxa" w:w="3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Finalisation du cahier des charges, maquettes UI/UX, modélisation des données, mise en place de l'environnement technique (Git, Docker, CI/CD)</w:t>
            </w:r>
          </w:p>
        </w:tc>
      </w:tr>
      <w:tr>
        <w:tc>
          <w:tcPr>
            <w:tcW w:type="dxa" w:w="3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Phase 2 — Développement du MVP</w:t>
            </w:r>
          </w:p>
        </w:tc>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Octobre 2026 – Février 2027</w:t>
            </w:r>
          </w:p>
        </w:tc>
        <w:tc>
          <w:tcPr>
            <w:tcW w:type="dxa" w:w="3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Développement des pôles Éducation, Marché et Musique, mise en place du Passeport KOFIS, de l'authentification et du système de commissions</w:t>
            </w:r>
          </w:p>
        </w:tc>
      </w:tr>
      <w:tr>
        <w:tc>
          <w:tcPr>
            <w:tcW w:type="dxa" w:w="3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Phase 3 — Tests &amp; Bêta fermée</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Mars 2027 – Avril 2027</w:t>
            </w:r>
          </w:p>
        </w:tc>
        <w:tc>
          <w:tcPr>
            <w:tcW w:type="dxa" w:w="3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Recette fonctionnelle, tests de charge, bêta fermée avec un panel de citoyens et professionnels, corrections et ajustements</w:t>
            </w:r>
          </w:p>
        </w:tc>
      </w:tr>
      <w:tr>
        <w:tc>
          <w:tcPr>
            <w:tcW w:type="dxa" w:w="3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Phase 4 — Lancement public &amp; extension des pôles</w:t>
            </w:r>
          </w:p>
        </w:tc>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Mai 2027 – Septembre 2027</w:t>
            </w:r>
          </w:p>
        </w:tc>
        <w:tc>
          <w:tcPr>
            <w:tcW w:type="dxa" w:w="32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Ouverture publique de la plateforme, ajout des pôles Santé, Justice et Emploi, mise en place du back-office d'administration complet</w:t>
            </w:r>
          </w:p>
        </w:tc>
      </w:tr>
      <w:tr>
        <w:tc>
          <w:tcPr>
            <w:tcW w:type="dxa" w:w="3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Phase 5 — Extension internationale</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Octobre 2027 et au-delà</w:t>
            </w:r>
          </w:p>
        </w:tc>
        <w:tc>
          <w:tcPr>
            <w:tcW w:type="dxa" w:w="32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Internationalisation (multilingue, multi-devises), déploiement progressif des 38 pôles, partenariats stratégiques internationaux</w:t>
            </w:r>
          </w:p>
        </w:tc>
      </w:tr>
    </w:tbl>
    <w:p>
      <w:pPr>
        <w:pStyle w:val="Heading1"/>
        <w:pageBreakBefore/>
        <w:spacing w:after="200" w:before="360"/>
      </w:pPr>
      <w:r>
        <w:rPr>
          <w:rFonts w:ascii="Arial" w:cs="Arial" w:eastAsia="Arial" w:hAnsi="Arial"/>
          <w:b/>
          <w:bCs/>
          <w:color w:val="4A2D8B"/>
          <w:sz w:val="30"/>
          <w:szCs w:val="30"/>
        </w:rPr>
        <w:t xml:space="preserve">15. Risques et atténuations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Risque</w:t>
            </w:r>
          </w:p>
        </w:tc>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Impact</w:t>
            </w:r>
          </w:p>
        </w:tc>
        <w:tc>
          <w:tcPr>
            <w:tcW w:type="dxa" w:w="38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Mesure d'atténuation</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Retard de développement du MVP</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Report du lancement, perte de dynamique commerciale</w:t>
            </w:r>
          </w:p>
        </w:tc>
        <w:tc>
          <w:tcPr>
            <w:tcW w:type="dxa" w:w="38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Découpage en sprints courts, priorisation stricte du périmètre MVP</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Faible adoption initiale par les citoyens</w:t>
            </w:r>
          </w:p>
        </w:tc>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Masse critique insuffisante pour générer des commissions</w:t>
            </w:r>
          </w:p>
        </w:tc>
        <w:tc>
          <w:tcPr>
            <w:tcW w:type="dxa" w:w="38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Programme de bêta-testeurs, partenariats avec universités et communautés locales</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Sécurité des données et des transactions</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Perte de confiance, risque juridique</w:t>
            </w:r>
          </w:p>
        </w:tc>
        <w:tc>
          <w:tcPr>
            <w:tcW w:type="dxa" w:w="38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Chiffrement, JWT/Bcrypt, audits de sécurité réguliers, conformité RGPD</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Non-conformité réglementaire (paiements, données)</w:t>
            </w:r>
          </w:p>
        </w:tc>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Sanctions, blocage de la plateforme dans certains pays</w:t>
            </w:r>
          </w:p>
        </w:tc>
        <w:tc>
          <w:tcPr>
            <w:tcW w:type="dxa" w:w="38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Veille juridique, accompagnement par des partenaires spécialisés en conformité</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Concurrence de plateformes spécialisées existantes</w:t>
            </w:r>
          </w:p>
        </w:tc>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Difficulté à convaincre sur chaque pôle pris isolément</w:t>
            </w:r>
          </w:p>
        </w:tc>
        <w:tc>
          <w:tcPr>
            <w:tcW w:type="dxa" w:w="38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Mise en avant de la proposition de valeur unifiée (identité + multi-pôles)</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Charge technique liée à la montée en volume</w:t>
            </w:r>
          </w:p>
        </w:tc>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Dégradation des performances</w:t>
            </w:r>
          </w:p>
        </w:tc>
        <w:tc>
          <w:tcPr>
            <w:tcW w:type="dxa" w:w="38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Architecture conteneurisée (Docker), scalabilité horizontale sur le cloud</w:t>
            </w:r>
          </w:p>
        </w:tc>
      </w:tr>
    </w:tbl>
    <w:p>
      <w:pPr>
        <w:pStyle w:val="Heading1"/>
        <w:pageBreakBefore/>
        <w:spacing w:after="200" w:before="360"/>
      </w:pPr>
      <w:r>
        <w:rPr>
          <w:rFonts w:ascii="Arial" w:cs="Arial" w:eastAsia="Arial" w:hAnsi="Arial"/>
          <w:b/>
          <w:bCs/>
          <w:color w:val="4A2D8B"/>
          <w:sz w:val="30"/>
          <w:szCs w:val="30"/>
        </w:rPr>
        <w:t xml:space="preserve">16. Indicateurs de succès</w:t>
      </w:r>
    </w:p>
    <w:p>
      <w:pPr>
        <w:pStyle w:val="ListParagraph"/>
        <w:numPr>
          <w:ilvl w:val="0"/>
          <w:numId w:val="2"/>
        </w:numPr>
        <w:spacing w:after="80"/>
      </w:pPr>
      <w:r>
        <w:rPr>
          <w:rFonts w:ascii="Arial" w:cs="Arial" w:eastAsia="Arial" w:hAnsi="Arial"/>
          <w:sz w:val="22"/>
          <w:szCs w:val="22"/>
        </w:rPr>
        <w:t xml:space="preserve">Nombre total de citoyens inscrits (Passeports KOFIS délivrés)</w:t>
      </w:r>
    </w:p>
    <w:p>
      <w:pPr>
        <w:pStyle w:val="ListParagraph"/>
        <w:numPr>
          <w:ilvl w:val="0"/>
          <w:numId w:val="2"/>
        </w:numPr>
        <w:spacing w:after="80"/>
      </w:pPr>
      <w:r>
        <w:rPr>
          <w:rFonts w:ascii="Arial" w:cs="Arial" w:eastAsia="Arial" w:hAnsi="Arial"/>
          <w:sz w:val="22"/>
          <w:szCs w:val="22"/>
        </w:rPr>
        <w:t xml:space="preserve">Taux d'activation : proportion de citoyens ayant réalisé au moins une activité sur un pôle</w:t>
      </w:r>
    </w:p>
    <w:p>
      <w:pPr>
        <w:pStyle w:val="ListParagraph"/>
        <w:numPr>
          <w:ilvl w:val="0"/>
          <w:numId w:val="2"/>
        </w:numPr>
        <w:spacing w:after="80"/>
      </w:pPr>
      <w:r>
        <w:rPr>
          <w:rFonts w:ascii="Arial" w:cs="Arial" w:eastAsia="Arial" w:hAnsi="Arial"/>
          <w:sz w:val="22"/>
          <w:szCs w:val="22"/>
        </w:rPr>
        <w:t xml:space="preserve">Nombre de transactions mensuelles par pôle (Éducation, Marché, Musique)</w:t>
      </w:r>
    </w:p>
    <w:p>
      <w:pPr>
        <w:pStyle w:val="ListParagraph"/>
        <w:numPr>
          <w:ilvl w:val="0"/>
          <w:numId w:val="2"/>
        </w:numPr>
        <w:spacing w:after="80"/>
      </w:pPr>
      <w:r>
        <w:rPr>
          <w:rFonts w:ascii="Arial" w:cs="Arial" w:eastAsia="Arial" w:hAnsi="Arial"/>
          <w:sz w:val="22"/>
          <w:szCs w:val="22"/>
        </w:rPr>
        <w:t xml:space="preserve">Volume de commissions perçues (revenus de la plateforme)</w:t>
      </w:r>
    </w:p>
    <w:p>
      <w:pPr>
        <w:pStyle w:val="ListParagraph"/>
        <w:numPr>
          <w:ilvl w:val="0"/>
          <w:numId w:val="2"/>
        </w:numPr>
        <w:spacing w:after="80"/>
      </w:pPr>
      <w:r>
        <w:rPr>
          <w:rFonts w:ascii="Arial" w:cs="Arial" w:eastAsia="Arial" w:hAnsi="Arial"/>
          <w:sz w:val="22"/>
          <w:szCs w:val="22"/>
        </w:rPr>
        <w:t xml:space="preserve">Taux de rétention des citoyens et des professionnels à 30, 60 et 90 jours</w:t>
      </w:r>
    </w:p>
    <w:p>
      <w:pPr>
        <w:pStyle w:val="ListParagraph"/>
        <w:numPr>
          <w:ilvl w:val="0"/>
          <w:numId w:val="2"/>
        </w:numPr>
        <w:spacing w:after="80"/>
      </w:pPr>
      <w:r>
        <w:rPr>
          <w:rFonts w:ascii="Arial" w:cs="Arial" w:eastAsia="Arial" w:hAnsi="Arial"/>
          <w:sz w:val="22"/>
          <w:szCs w:val="22"/>
        </w:rPr>
        <w:t xml:space="preserve">Net Promoter Score (NPS) mesurant la satisfaction et la recommandation</w:t>
      </w:r>
    </w:p>
    <w:p>
      <w:pPr>
        <w:pStyle w:val="ListParagraph"/>
        <w:numPr>
          <w:ilvl w:val="0"/>
          <w:numId w:val="2"/>
        </w:numPr>
        <w:spacing w:after="80"/>
      </w:pPr>
      <w:r>
        <w:rPr>
          <w:rFonts w:ascii="Arial" w:cs="Arial" w:eastAsia="Arial" w:hAnsi="Arial"/>
          <w:sz w:val="22"/>
          <w:szCs w:val="22"/>
        </w:rPr>
        <w:t xml:space="preserve">Nombre de professionnels actifs (formateurs, vendeurs, artistes) générant des revenus</w:t>
      </w:r>
    </w:p>
    <w:p>
      <w:pPr>
        <w:pStyle w:val="Heading1"/>
        <w:pageBreakBefore/>
        <w:spacing w:after="200" w:before="360"/>
      </w:pPr>
      <w:r>
        <w:rPr>
          <w:rFonts w:ascii="Arial" w:cs="Arial" w:eastAsia="Arial" w:hAnsi="Arial"/>
          <w:b/>
          <w:bCs/>
          <w:color w:val="4A2D8B"/>
          <w:sz w:val="30"/>
          <w:szCs w:val="30"/>
        </w:rPr>
        <w:t xml:space="preserve">17.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Terme</w:t>
            </w:r>
          </w:p>
        </w:tc>
        <w:tc>
          <w:tcPr>
            <w:tcW w:type="dxa" w:w="6400"/>
            <w:shd w:fill="4A2D8B" w:val="clear"/>
            <w:tcMar>
              <w:top w:type="dxa" w:w="80"/>
              <w:left w:type="dxa" w:w="100"/>
              <w:bottom w:type="dxa" w:w="80"/>
              <w:right w:type="dxa" w:w="100"/>
            </w:tcMar>
            <w:vAlign w:val="center"/>
          </w:tcPr>
          <w:p>
            <w:r>
              <w:rPr>
                <w:rFonts w:ascii="Arial" w:cs="Arial" w:eastAsia="Arial" w:hAnsi="Arial"/>
                <w:b/>
                <w:bCs/>
                <w:color w:val="FFFFFF"/>
                <w:sz w:val="20"/>
                <w:szCs w:val="20"/>
              </w:rPr>
              <w:t xml:space="preserve">Définition</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KOFIS City</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Ville virtuelle mondiale structurée en 38 pôles d'activités, accessible en ligne à tout citoyen inscrit.</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Passeport KOFIS</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Identité numérique unique et gratuite délivrée à chaque citoyen inscrit ; il fait office de « nationalité virtuelle ».</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Citoyen</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Utilisateur inscrit sur KOFIS City, titulaire d'un Passeport KOFIS.</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Professionnel</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Citoyen exerçant une activité rémunérée sur un ou plusieurs pôles (formateur, vendeur, artiste, etc.).</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Administrateur</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Acteur en charge de la supervision, de la configuration et de la modération de la plateforme.</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Pôle</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Espace thématique de KOFIS City dédié à un domaine d'activité (Éducation, Marché, Musique, Santé, Justice, etc.).</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Commission (impôt virtuel)</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Pourcentage prélevé automatiquement sur chaque transaction réalisée sur un pôle, constituant la principale source de revenus de la plateforme.</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MVP</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Minimum Viable Product : version minimale du produit permettant de valider les hypothèses principales du projet.</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JWT</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JSON Web Token : jeton signé utilisé pour authentifier les requêtes entre le frontend et le backend.</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Bcrypt</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Algorithme de hachage utilisé pour sécuriser le stockage des mots de passe.</w:t>
            </w:r>
          </w:p>
        </w:tc>
      </w:tr>
      <w:tr>
        <w:tc>
          <w:tcPr>
            <w:tcW w:type="dxa" w:w="26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API REST</w:t>
            </w:r>
          </w:p>
        </w:tc>
        <w:tc>
          <w:tcPr>
            <w:tcW w:type="dxa" w:w="6400"/>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Interface de programmation exposée par le backend, consommée par le frontend Angular.</w:t>
            </w:r>
          </w:p>
        </w:tc>
      </w:tr>
      <w:tr>
        <w:tc>
          <w:tcPr>
            <w:tcW w:type="dxa" w:w="26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BMC</w:t>
            </w:r>
          </w:p>
        </w:tc>
        <w:tc>
          <w:tcPr>
            <w:tcW w:type="dxa" w:w="6400"/>
            <w:shd w:fill="EDE7F6" w:val="clear"/>
            <w:tcMar>
              <w:top w:type="dxa" w:w="80"/>
              <w:left w:type="dxa" w:w="100"/>
              <w:bottom w:type="dxa" w:w="80"/>
              <w:right w:type="dxa" w:w="100"/>
            </w:tcMar>
            <w:vAlign w:val="center"/>
          </w:tcPr>
          <w:p>
            <w:r>
              <w:rPr>
                <w:rFonts w:ascii="Arial" w:cs="Arial" w:eastAsia="Arial" w:hAnsi="Arial"/>
                <w:b w:val="false"/>
                <w:bCs w:val="false"/>
                <w:color w:val="333333"/>
                <w:sz w:val="20"/>
                <w:szCs w:val="20"/>
              </w:rPr>
              <w:t xml:space="preserve">Business Model Canvas : représentation synthétique du modèle économique d'un projet.</w:t>
            </w:r>
          </w:p>
        </w:tc>
      </w:tr>
    </w:tbl>
    <w:p>
      <w:pPr>
        <w:pStyle w:val="Heading1"/>
        <w:pageBreakBefore/>
        <w:spacing w:after="200" w:before="360"/>
      </w:pPr>
      <w:r>
        <w:rPr>
          <w:rFonts w:ascii="Arial" w:cs="Arial" w:eastAsia="Arial" w:hAnsi="Arial"/>
          <w:b/>
          <w:bCs/>
          <w:color w:val="4A2D8B"/>
          <w:sz w:val="30"/>
          <w:szCs w:val="30"/>
        </w:rPr>
        <w:t xml:space="preserve">18. Annexes</w:t>
      </w:r>
    </w:p>
    <w:p>
      <w:pPr>
        <w:pStyle w:val="Heading2"/>
        <w:spacing w:after="160" w:before="280"/>
      </w:pPr>
      <w:r>
        <w:rPr>
          <w:rFonts w:ascii="Arial" w:cs="Arial" w:eastAsia="Arial" w:hAnsi="Arial"/>
          <w:b/>
          <w:bCs/>
          <w:color w:val="4A2D8B"/>
          <w:sz w:val="26"/>
          <w:szCs w:val="26"/>
        </w:rPr>
        <w:t xml:space="preserve">18.1 Liste complète des 38 pôles d'activités</w:t>
      </w:r>
    </w:p>
    <w:p>
      <w:pPr>
        <w:spacing w:after="160" w:line="276"/>
        <w:jc w:val="both"/>
      </w:pPr>
      <w:r>
        <w:rPr>
          <w:rFonts w:ascii="Arial" w:cs="Arial" w:eastAsia="Arial" w:hAnsi="Arial"/>
          <w:b w:val="false"/>
          <w:bCs w:val="false"/>
          <w:i w:val="false"/>
          <w:iCs w:val="false"/>
          <w:sz w:val="22"/>
          <w:szCs w:val="22"/>
        </w:rPr>
        <w:t xml:space="preserve">Les 38 pôles de KOFIS City sont organisés en 7 grandes catégories :</w:t>
      </w:r>
    </w:p>
    <w:p>
      <w:pPr>
        <w:pStyle w:val="Heading3"/>
        <w:spacing w:after="120" w:before="200"/>
      </w:pPr>
      <w:r>
        <w:rPr>
          <w:rFonts w:ascii="Arial" w:cs="Arial" w:eastAsia="Arial" w:hAnsi="Arial"/>
          <w:b/>
          <w:bCs/>
          <w:color w:val="333333"/>
          <w:sz w:val="23"/>
          <w:szCs w:val="23"/>
        </w:rPr>
        <w:t xml:space="preserve">18.1.1 Éducation &amp; Savoir (6 pôles)</w:t>
      </w:r>
    </w:p>
    <w:p>
      <w:pPr>
        <w:pStyle w:val="ListParagraph"/>
        <w:numPr>
          <w:ilvl w:val="0"/>
          <w:numId w:val="2"/>
        </w:numPr>
        <w:spacing w:after="80"/>
      </w:pPr>
      <w:r>
        <w:rPr>
          <w:rFonts w:ascii="Arial" w:cs="Arial" w:eastAsia="Arial" w:hAnsi="Arial"/>
          <w:sz w:val="22"/>
          <w:szCs w:val="22"/>
        </w:rPr>
        <w:t xml:space="preserve">Éducation</w:t>
      </w:r>
    </w:p>
    <w:p>
      <w:pPr>
        <w:pStyle w:val="ListParagraph"/>
        <w:numPr>
          <w:ilvl w:val="0"/>
          <w:numId w:val="2"/>
        </w:numPr>
        <w:spacing w:after="80"/>
      </w:pPr>
      <w:r>
        <w:rPr>
          <w:rFonts w:ascii="Arial" w:cs="Arial" w:eastAsia="Arial" w:hAnsi="Arial"/>
          <w:sz w:val="22"/>
          <w:szCs w:val="22"/>
        </w:rPr>
        <w:t xml:space="preserve">Formation Professionnelle</w:t>
      </w:r>
    </w:p>
    <w:p>
      <w:pPr>
        <w:pStyle w:val="ListParagraph"/>
        <w:numPr>
          <w:ilvl w:val="0"/>
          <w:numId w:val="2"/>
        </w:numPr>
        <w:spacing w:after="80"/>
      </w:pPr>
      <w:r>
        <w:rPr>
          <w:rFonts w:ascii="Arial" w:cs="Arial" w:eastAsia="Arial" w:hAnsi="Arial"/>
          <w:sz w:val="22"/>
          <w:szCs w:val="22"/>
        </w:rPr>
        <w:t xml:space="preserve">Recherche &amp; Innovation</w:t>
      </w:r>
    </w:p>
    <w:p>
      <w:pPr>
        <w:pStyle w:val="ListParagraph"/>
        <w:numPr>
          <w:ilvl w:val="0"/>
          <w:numId w:val="2"/>
        </w:numPr>
        <w:spacing w:after="80"/>
      </w:pPr>
      <w:r>
        <w:rPr>
          <w:rFonts w:ascii="Arial" w:cs="Arial" w:eastAsia="Arial" w:hAnsi="Arial"/>
          <w:sz w:val="22"/>
          <w:szCs w:val="22"/>
        </w:rPr>
        <w:t xml:space="preserve">Bibliothèque Numérique</w:t>
      </w:r>
    </w:p>
    <w:p>
      <w:pPr>
        <w:pStyle w:val="ListParagraph"/>
        <w:numPr>
          <w:ilvl w:val="0"/>
          <w:numId w:val="2"/>
        </w:numPr>
        <w:spacing w:after="80"/>
      </w:pPr>
      <w:r>
        <w:rPr>
          <w:rFonts w:ascii="Arial" w:cs="Arial" w:eastAsia="Arial" w:hAnsi="Arial"/>
          <w:sz w:val="22"/>
          <w:szCs w:val="22"/>
        </w:rPr>
        <w:t xml:space="preserve">Langues &amp; Traduction</w:t>
      </w:r>
    </w:p>
    <w:p>
      <w:pPr>
        <w:pStyle w:val="ListParagraph"/>
        <w:numPr>
          <w:ilvl w:val="0"/>
          <w:numId w:val="2"/>
        </w:numPr>
        <w:spacing w:after="80"/>
      </w:pPr>
      <w:r>
        <w:rPr>
          <w:rFonts w:ascii="Arial" w:cs="Arial" w:eastAsia="Arial" w:hAnsi="Arial"/>
          <w:sz w:val="22"/>
          <w:szCs w:val="22"/>
        </w:rPr>
        <w:t xml:space="preserve">Sciences &amp; Technologies</w:t>
      </w:r>
    </w:p>
    <w:p>
      <w:pPr>
        <w:pStyle w:val="Heading3"/>
        <w:spacing w:after="120" w:before="200"/>
      </w:pPr>
      <w:r>
        <w:rPr>
          <w:rFonts w:ascii="Arial" w:cs="Arial" w:eastAsia="Arial" w:hAnsi="Arial"/>
          <w:b/>
          <w:bCs/>
          <w:color w:val="333333"/>
          <w:sz w:val="23"/>
          <w:szCs w:val="23"/>
        </w:rPr>
        <w:t xml:space="preserve">18.1.2 Économie &amp; Marché (7 pôles)</w:t>
      </w:r>
    </w:p>
    <w:p>
      <w:pPr>
        <w:pStyle w:val="ListParagraph"/>
        <w:numPr>
          <w:ilvl w:val="0"/>
          <w:numId w:val="2"/>
        </w:numPr>
        <w:spacing w:after="80"/>
      </w:pPr>
      <w:r>
        <w:rPr>
          <w:rFonts w:ascii="Arial" w:cs="Arial" w:eastAsia="Arial" w:hAnsi="Arial"/>
          <w:sz w:val="22"/>
          <w:szCs w:val="22"/>
        </w:rPr>
        <w:t xml:space="preserve">Marché</w:t>
      </w:r>
    </w:p>
    <w:p>
      <w:pPr>
        <w:pStyle w:val="ListParagraph"/>
        <w:numPr>
          <w:ilvl w:val="0"/>
          <w:numId w:val="2"/>
        </w:numPr>
        <w:spacing w:after="80"/>
      </w:pPr>
      <w:r>
        <w:rPr>
          <w:rFonts w:ascii="Arial" w:cs="Arial" w:eastAsia="Arial" w:hAnsi="Arial"/>
          <w:sz w:val="22"/>
          <w:szCs w:val="22"/>
        </w:rPr>
        <w:t xml:space="preserve">Banque &amp; Finance</w:t>
      </w:r>
    </w:p>
    <w:p>
      <w:pPr>
        <w:pStyle w:val="ListParagraph"/>
        <w:numPr>
          <w:ilvl w:val="0"/>
          <w:numId w:val="2"/>
        </w:numPr>
        <w:spacing w:after="80"/>
      </w:pPr>
      <w:r>
        <w:rPr>
          <w:rFonts w:ascii="Arial" w:cs="Arial" w:eastAsia="Arial" w:hAnsi="Arial"/>
          <w:sz w:val="22"/>
          <w:szCs w:val="22"/>
        </w:rPr>
        <w:t xml:space="preserve">Entrepreneuriat &amp; Startups</w:t>
      </w:r>
    </w:p>
    <w:p>
      <w:pPr>
        <w:pStyle w:val="ListParagraph"/>
        <w:numPr>
          <w:ilvl w:val="0"/>
          <w:numId w:val="2"/>
        </w:numPr>
        <w:spacing w:after="80"/>
      </w:pPr>
      <w:r>
        <w:rPr>
          <w:rFonts w:ascii="Arial" w:cs="Arial" w:eastAsia="Arial" w:hAnsi="Arial"/>
          <w:sz w:val="22"/>
          <w:szCs w:val="22"/>
        </w:rPr>
        <w:t xml:space="preserve">Emploi &amp; Recrutement</w:t>
      </w:r>
    </w:p>
    <w:p>
      <w:pPr>
        <w:pStyle w:val="ListParagraph"/>
        <w:numPr>
          <w:ilvl w:val="0"/>
          <w:numId w:val="2"/>
        </w:numPr>
        <w:spacing w:after="80"/>
      </w:pPr>
      <w:r>
        <w:rPr>
          <w:rFonts w:ascii="Arial" w:cs="Arial" w:eastAsia="Arial" w:hAnsi="Arial"/>
          <w:sz w:val="22"/>
          <w:szCs w:val="22"/>
        </w:rPr>
        <w:t xml:space="preserve">Immobilier</w:t>
      </w:r>
    </w:p>
    <w:p>
      <w:pPr>
        <w:pStyle w:val="ListParagraph"/>
        <w:numPr>
          <w:ilvl w:val="0"/>
          <w:numId w:val="2"/>
        </w:numPr>
        <w:spacing w:after="80"/>
      </w:pPr>
      <w:r>
        <w:rPr>
          <w:rFonts w:ascii="Arial" w:cs="Arial" w:eastAsia="Arial" w:hAnsi="Arial"/>
          <w:sz w:val="22"/>
          <w:szCs w:val="22"/>
        </w:rPr>
        <w:t xml:space="preserve">Assurance</w:t>
      </w:r>
    </w:p>
    <w:p>
      <w:pPr>
        <w:pStyle w:val="ListParagraph"/>
        <w:numPr>
          <w:ilvl w:val="0"/>
          <w:numId w:val="2"/>
        </w:numPr>
        <w:spacing w:after="80"/>
      </w:pPr>
      <w:r>
        <w:rPr>
          <w:rFonts w:ascii="Arial" w:cs="Arial" w:eastAsia="Arial" w:hAnsi="Arial"/>
          <w:sz w:val="22"/>
          <w:szCs w:val="22"/>
        </w:rPr>
        <w:t xml:space="preserve">Commerce International</w:t>
      </w:r>
    </w:p>
    <w:p>
      <w:pPr>
        <w:pStyle w:val="Heading3"/>
        <w:spacing w:after="120" w:before="200"/>
      </w:pPr>
      <w:r>
        <w:rPr>
          <w:rFonts w:ascii="Arial" w:cs="Arial" w:eastAsia="Arial" w:hAnsi="Arial"/>
          <w:b/>
          <w:bCs/>
          <w:color w:val="333333"/>
          <w:sz w:val="23"/>
          <w:szCs w:val="23"/>
        </w:rPr>
        <w:t xml:space="preserve">18.1.3 Culture &amp; Divertissement (6 pôles)</w:t>
      </w:r>
    </w:p>
    <w:p>
      <w:pPr>
        <w:pStyle w:val="ListParagraph"/>
        <w:numPr>
          <w:ilvl w:val="0"/>
          <w:numId w:val="2"/>
        </w:numPr>
        <w:spacing w:after="80"/>
      </w:pPr>
      <w:r>
        <w:rPr>
          <w:rFonts w:ascii="Arial" w:cs="Arial" w:eastAsia="Arial" w:hAnsi="Arial"/>
          <w:sz w:val="22"/>
          <w:szCs w:val="22"/>
        </w:rPr>
        <w:t xml:space="preserve">Musique</w:t>
      </w:r>
    </w:p>
    <w:p>
      <w:pPr>
        <w:pStyle w:val="ListParagraph"/>
        <w:numPr>
          <w:ilvl w:val="0"/>
          <w:numId w:val="2"/>
        </w:numPr>
        <w:spacing w:after="80"/>
      </w:pPr>
      <w:r>
        <w:rPr>
          <w:rFonts w:ascii="Arial" w:cs="Arial" w:eastAsia="Arial" w:hAnsi="Arial"/>
          <w:sz w:val="22"/>
          <w:szCs w:val="22"/>
        </w:rPr>
        <w:t xml:space="preserve">Cinéma &amp; Audiovisuel</w:t>
      </w:r>
    </w:p>
    <w:p>
      <w:pPr>
        <w:pStyle w:val="ListParagraph"/>
        <w:numPr>
          <w:ilvl w:val="0"/>
          <w:numId w:val="2"/>
        </w:numPr>
        <w:spacing w:after="80"/>
      </w:pPr>
      <w:r>
        <w:rPr>
          <w:rFonts w:ascii="Arial" w:cs="Arial" w:eastAsia="Arial" w:hAnsi="Arial"/>
          <w:sz w:val="22"/>
          <w:szCs w:val="22"/>
        </w:rPr>
        <w:t xml:space="preserve">Arts &amp; Peinture</w:t>
      </w:r>
    </w:p>
    <w:p>
      <w:pPr>
        <w:pStyle w:val="ListParagraph"/>
        <w:numPr>
          <w:ilvl w:val="0"/>
          <w:numId w:val="2"/>
        </w:numPr>
        <w:spacing w:after="80"/>
      </w:pPr>
      <w:r>
        <w:rPr>
          <w:rFonts w:ascii="Arial" w:cs="Arial" w:eastAsia="Arial" w:hAnsi="Arial"/>
          <w:sz w:val="22"/>
          <w:szCs w:val="22"/>
        </w:rPr>
        <w:t xml:space="preserve">Littérature &amp; Édition</w:t>
      </w:r>
    </w:p>
    <w:p>
      <w:pPr>
        <w:pStyle w:val="ListParagraph"/>
        <w:numPr>
          <w:ilvl w:val="0"/>
          <w:numId w:val="2"/>
        </w:numPr>
        <w:spacing w:after="80"/>
      </w:pPr>
      <w:r>
        <w:rPr>
          <w:rFonts w:ascii="Arial" w:cs="Arial" w:eastAsia="Arial" w:hAnsi="Arial"/>
          <w:sz w:val="22"/>
          <w:szCs w:val="22"/>
        </w:rPr>
        <w:t xml:space="preserve">Sport &amp; Compétitions</w:t>
      </w:r>
    </w:p>
    <w:p>
      <w:pPr>
        <w:pStyle w:val="ListParagraph"/>
        <w:numPr>
          <w:ilvl w:val="0"/>
          <w:numId w:val="2"/>
        </w:numPr>
        <w:spacing w:after="80"/>
      </w:pPr>
      <w:r>
        <w:rPr>
          <w:rFonts w:ascii="Arial" w:cs="Arial" w:eastAsia="Arial" w:hAnsi="Arial"/>
          <w:sz w:val="22"/>
          <w:szCs w:val="22"/>
        </w:rPr>
        <w:t xml:space="preserve">Gastronomie</w:t>
      </w:r>
    </w:p>
    <w:p>
      <w:pPr>
        <w:pStyle w:val="Heading3"/>
        <w:spacing w:after="120" w:before="200"/>
      </w:pPr>
      <w:r>
        <w:rPr>
          <w:rFonts w:ascii="Arial" w:cs="Arial" w:eastAsia="Arial" w:hAnsi="Arial"/>
          <w:b/>
          <w:bCs/>
          <w:color w:val="333333"/>
          <w:sz w:val="23"/>
          <w:szCs w:val="23"/>
        </w:rPr>
        <w:t xml:space="preserve">18.1.4 Santé &amp; Bien-être (5 pôles)</w:t>
      </w:r>
    </w:p>
    <w:p>
      <w:pPr>
        <w:pStyle w:val="ListParagraph"/>
        <w:numPr>
          <w:ilvl w:val="0"/>
          <w:numId w:val="2"/>
        </w:numPr>
        <w:spacing w:after="80"/>
      </w:pPr>
      <w:r>
        <w:rPr>
          <w:rFonts w:ascii="Arial" w:cs="Arial" w:eastAsia="Arial" w:hAnsi="Arial"/>
          <w:sz w:val="22"/>
          <w:szCs w:val="22"/>
        </w:rPr>
        <w:t xml:space="preserve">Santé</w:t>
      </w:r>
    </w:p>
    <w:p>
      <w:pPr>
        <w:pStyle w:val="ListParagraph"/>
        <w:numPr>
          <w:ilvl w:val="0"/>
          <w:numId w:val="2"/>
        </w:numPr>
        <w:spacing w:after="80"/>
      </w:pPr>
      <w:r>
        <w:rPr>
          <w:rFonts w:ascii="Arial" w:cs="Arial" w:eastAsia="Arial" w:hAnsi="Arial"/>
          <w:sz w:val="22"/>
          <w:szCs w:val="22"/>
        </w:rPr>
        <w:t xml:space="preserve">Nutrition</w:t>
      </w:r>
    </w:p>
    <w:p>
      <w:pPr>
        <w:pStyle w:val="ListParagraph"/>
        <w:numPr>
          <w:ilvl w:val="0"/>
          <w:numId w:val="2"/>
        </w:numPr>
        <w:spacing w:after="80"/>
      </w:pPr>
      <w:r>
        <w:rPr>
          <w:rFonts w:ascii="Arial" w:cs="Arial" w:eastAsia="Arial" w:hAnsi="Arial"/>
          <w:sz w:val="22"/>
          <w:szCs w:val="22"/>
        </w:rPr>
        <w:t xml:space="preserve">Santé Mentale</w:t>
      </w:r>
    </w:p>
    <w:p>
      <w:pPr>
        <w:pStyle w:val="ListParagraph"/>
        <w:numPr>
          <w:ilvl w:val="0"/>
          <w:numId w:val="2"/>
        </w:numPr>
        <w:spacing w:after="80"/>
      </w:pPr>
      <w:r>
        <w:rPr>
          <w:rFonts w:ascii="Arial" w:cs="Arial" w:eastAsia="Arial" w:hAnsi="Arial"/>
          <w:sz w:val="22"/>
          <w:szCs w:val="22"/>
        </w:rPr>
        <w:t xml:space="preserve">Pharmacie</w:t>
      </w:r>
    </w:p>
    <w:p>
      <w:pPr>
        <w:pStyle w:val="ListParagraph"/>
        <w:numPr>
          <w:ilvl w:val="0"/>
          <w:numId w:val="2"/>
        </w:numPr>
        <w:spacing w:after="80"/>
      </w:pPr>
      <w:r>
        <w:rPr>
          <w:rFonts w:ascii="Arial" w:cs="Arial" w:eastAsia="Arial" w:hAnsi="Arial"/>
          <w:sz w:val="22"/>
          <w:szCs w:val="22"/>
        </w:rPr>
        <w:t xml:space="preserve">Bien-être &amp; Sport Loisir</w:t>
      </w:r>
    </w:p>
    <w:p>
      <w:pPr>
        <w:pStyle w:val="Heading3"/>
        <w:spacing w:after="120" w:before="200"/>
      </w:pPr>
      <w:r>
        <w:rPr>
          <w:rFonts w:ascii="Arial" w:cs="Arial" w:eastAsia="Arial" w:hAnsi="Arial"/>
          <w:b/>
          <w:bCs/>
          <w:color w:val="333333"/>
          <w:sz w:val="23"/>
          <w:szCs w:val="23"/>
        </w:rPr>
        <w:t xml:space="preserve">18.1.5 Justice &amp; Gouvernance (5 pôles)</w:t>
      </w:r>
    </w:p>
    <w:p>
      <w:pPr>
        <w:pStyle w:val="ListParagraph"/>
        <w:numPr>
          <w:ilvl w:val="0"/>
          <w:numId w:val="2"/>
        </w:numPr>
        <w:spacing w:after="80"/>
      </w:pPr>
      <w:r>
        <w:rPr>
          <w:rFonts w:ascii="Arial" w:cs="Arial" w:eastAsia="Arial" w:hAnsi="Arial"/>
          <w:sz w:val="22"/>
          <w:szCs w:val="22"/>
        </w:rPr>
        <w:t xml:space="preserve">Justice</w:t>
      </w:r>
    </w:p>
    <w:p>
      <w:pPr>
        <w:pStyle w:val="ListParagraph"/>
        <w:numPr>
          <w:ilvl w:val="0"/>
          <w:numId w:val="2"/>
        </w:numPr>
        <w:spacing w:after="80"/>
      </w:pPr>
      <w:r>
        <w:rPr>
          <w:rFonts w:ascii="Arial" w:cs="Arial" w:eastAsia="Arial" w:hAnsi="Arial"/>
          <w:sz w:val="22"/>
          <w:szCs w:val="22"/>
        </w:rPr>
        <w:t xml:space="preserve">Administration Publique</w:t>
      </w:r>
    </w:p>
    <w:p>
      <w:pPr>
        <w:pStyle w:val="ListParagraph"/>
        <w:numPr>
          <w:ilvl w:val="0"/>
          <w:numId w:val="2"/>
        </w:numPr>
        <w:spacing w:after="80"/>
      </w:pPr>
      <w:r>
        <w:rPr>
          <w:rFonts w:ascii="Arial" w:cs="Arial" w:eastAsia="Arial" w:hAnsi="Arial"/>
          <w:sz w:val="22"/>
          <w:szCs w:val="22"/>
        </w:rPr>
        <w:t xml:space="preserve">Diplomatie &amp; Relations Internationales</w:t>
      </w:r>
    </w:p>
    <w:p>
      <w:pPr>
        <w:pStyle w:val="ListParagraph"/>
        <w:numPr>
          <w:ilvl w:val="0"/>
          <w:numId w:val="2"/>
        </w:numPr>
        <w:spacing w:after="80"/>
      </w:pPr>
      <w:r>
        <w:rPr>
          <w:rFonts w:ascii="Arial" w:cs="Arial" w:eastAsia="Arial" w:hAnsi="Arial"/>
          <w:sz w:val="22"/>
          <w:szCs w:val="22"/>
        </w:rPr>
        <w:t xml:space="preserve">Sécurité Civile</w:t>
      </w:r>
    </w:p>
    <w:p>
      <w:pPr>
        <w:pStyle w:val="ListParagraph"/>
        <w:numPr>
          <w:ilvl w:val="0"/>
          <w:numId w:val="2"/>
        </w:numPr>
        <w:spacing w:after="80"/>
      </w:pPr>
      <w:r>
        <w:rPr>
          <w:rFonts w:ascii="Arial" w:cs="Arial" w:eastAsia="Arial" w:hAnsi="Arial"/>
          <w:sz w:val="22"/>
          <w:szCs w:val="22"/>
        </w:rPr>
        <w:t xml:space="preserve">Fiscalité</w:t>
      </w:r>
    </w:p>
    <w:p>
      <w:pPr>
        <w:pStyle w:val="Heading3"/>
        <w:spacing w:after="120" w:before="200"/>
      </w:pPr>
      <w:r>
        <w:rPr>
          <w:rFonts w:ascii="Arial" w:cs="Arial" w:eastAsia="Arial" w:hAnsi="Arial"/>
          <w:b/>
          <w:bCs/>
          <w:color w:val="333333"/>
          <w:sz w:val="23"/>
          <w:szCs w:val="23"/>
        </w:rPr>
        <w:t xml:space="preserve">18.1.6 Services publics &amp; Vie pratique (5 pôles)</w:t>
      </w:r>
    </w:p>
    <w:p>
      <w:pPr>
        <w:pStyle w:val="ListParagraph"/>
        <w:numPr>
          <w:ilvl w:val="0"/>
          <w:numId w:val="2"/>
        </w:numPr>
        <w:spacing w:after="80"/>
      </w:pPr>
      <w:r>
        <w:rPr>
          <w:rFonts w:ascii="Arial" w:cs="Arial" w:eastAsia="Arial" w:hAnsi="Arial"/>
          <w:sz w:val="22"/>
          <w:szCs w:val="22"/>
        </w:rPr>
        <w:t xml:space="preserve">Transport &amp; Mobilité</w:t>
      </w:r>
    </w:p>
    <w:p>
      <w:pPr>
        <w:pStyle w:val="ListParagraph"/>
        <w:numPr>
          <w:ilvl w:val="0"/>
          <w:numId w:val="2"/>
        </w:numPr>
        <w:spacing w:after="80"/>
      </w:pPr>
      <w:r>
        <w:rPr>
          <w:rFonts w:ascii="Arial" w:cs="Arial" w:eastAsia="Arial" w:hAnsi="Arial"/>
          <w:sz w:val="22"/>
          <w:szCs w:val="22"/>
        </w:rPr>
        <w:t xml:space="preserve">Logement &amp; Urbanisme</w:t>
      </w:r>
    </w:p>
    <w:p>
      <w:pPr>
        <w:pStyle w:val="ListParagraph"/>
        <w:numPr>
          <w:ilvl w:val="0"/>
          <w:numId w:val="2"/>
        </w:numPr>
        <w:spacing w:after="80"/>
      </w:pPr>
      <w:r>
        <w:rPr>
          <w:rFonts w:ascii="Arial" w:cs="Arial" w:eastAsia="Arial" w:hAnsi="Arial"/>
          <w:sz w:val="22"/>
          <w:szCs w:val="22"/>
        </w:rPr>
        <w:t xml:space="preserve">Énergie &amp; Environnement</w:t>
      </w:r>
    </w:p>
    <w:p>
      <w:pPr>
        <w:pStyle w:val="ListParagraph"/>
        <w:numPr>
          <w:ilvl w:val="0"/>
          <w:numId w:val="2"/>
        </w:numPr>
        <w:spacing w:after="80"/>
      </w:pPr>
      <w:r>
        <w:rPr>
          <w:rFonts w:ascii="Arial" w:cs="Arial" w:eastAsia="Arial" w:hAnsi="Arial"/>
          <w:sz w:val="22"/>
          <w:szCs w:val="22"/>
        </w:rPr>
        <w:t xml:space="preserve">Tourisme &amp; Voyage</w:t>
      </w:r>
    </w:p>
    <w:p>
      <w:pPr>
        <w:pStyle w:val="ListParagraph"/>
        <w:numPr>
          <w:ilvl w:val="0"/>
          <w:numId w:val="2"/>
        </w:numPr>
        <w:spacing w:after="80"/>
      </w:pPr>
      <w:r>
        <w:rPr>
          <w:rFonts w:ascii="Arial" w:cs="Arial" w:eastAsia="Arial" w:hAnsi="Arial"/>
          <w:sz w:val="22"/>
          <w:szCs w:val="22"/>
        </w:rPr>
        <w:t xml:space="preserve">Communication &amp; Médias</w:t>
      </w:r>
    </w:p>
    <w:p>
      <w:pPr>
        <w:pStyle w:val="Heading3"/>
        <w:spacing w:after="120" w:before="200"/>
      </w:pPr>
      <w:r>
        <w:rPr>
          <w:rFonts w:ascii="Arial" w:cs="Arial" w:eastAsia="Arial" w:hAnsi="Arial"/>
          <w:b/>
          <w:bCs/>
          <w:color w:val="333333"/>
          <w:sz w:val="23"/>
          <w:szCs w:val="23"/>
        </w:rPr>
        <w:t xml:space="preserve">18.1.7 Technologie &amp; Numérique (4 pôles)</w:t>
      </w:r>
    </w:p>
    <w:p>
      <w:pPr>
        <w:pStyle w:val="ListParagraph"/>
        <w:numPr>
          <w:ilvl w:val="0"/>
          <w:numId w:val="2"/>
        </w:numPr>
        <w:spacing w:after="80"/>
      </w:pPr>
      <w:r>
        <w:rPr>
          <w:rFonts w:ascii="Arial" w:cs="Arial" w:eastAsia="Arial" w:hAnsi="Arial"/>
          <w:sz w:val="22"/>
          <w:szCs w:val="22"/>
        </w:rPr>
        <w:t xml:space="preserve">Intelligence Artificielle</w:t>
      </w:r>
    </w:p>
    <w:p>
      <w:pPr>
        <w:pStyle w:val="ListParagraph"/>
        <w:numPr>
          <w:ilvl w:val="0"/>
          <w:numId w:val="2"/>
        </w:numPr>
        <w:spacing w:after="80"/>
      </w:pPr>
      <w:r>
        <w:rPr>
          <w:rFonts w:ascii="Arial" w:cs="Arial" w:eastAsia="Arial" w:hAnsi="Arial"/>
          <w:sz w:val="22"/>
          <w:szCs w:val="22"/>
        </w:rPr>
        <w:t xml:space="preserve">Cybersécurité</w:t>
      </w:r>
    </w:p>
    <w:p>
      <w:pPr>
        <w:pStyle w:val="ListParagraph"/>
        <w:numPr>
          <w:ilvl w:val="0"/>
          <w:numId w:val="2"/>
        </w:numPr>
        <w:spacing w:after="80"/>
      </w:pPr>
      <w:r>
        <w:rPr>
          <w:rFonts w:ascii="Arial" w:cs="Arial" w:eastAsia="Arial" w:hAnsi="Arial"/>
          <w:sz w:val="22"/>
          <w:szCs w:val="22"/>
        </w:rPr>
        <w:t xml:space="preserve">Data &amp; Cloud</w:t>
      </w:r>
    </w:p>
    <w:p>
      <w:pPr>
        <w:pStyle w:val="ListParagraph"/>
        <w:numPr>
          <w:ilvl w:val="0"/>
          <w:numId w:val="2"/>
        </w:numPr>
        <w:spacing w:after="80"/>
      </w:pPr>
      <w:r>
        <w:rPr>
          <w:rFonts w:ascii="Arial" w:cs="Arial" w:eastAsia="Arial" w:hAnsi="Arial"/>
          <w:sz w:val="22"/>
          <w:szCs w:val="22"/>
        </w:rPr>
        <w:t xml:space="preserve">Innovation Digitale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KOFIS City — v1.0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2D8B" w:sz="4"/>
      </w:pBdr>
      <w:jc w:val="right"/>
    </w:pPr>
    <w:r>
      <w:rPr>
        <w:rFonts w:ascii="Arial" w:cs="Arial" w:eastAsia="Arial" w:hAnsi="Arial"/>
        <w:i/>
        <w:iCs/>
        <w:color w:val="666666"/>
        <w:sz w:val="16"/>
        <w:szCs w:val="16"/>
      </w:rPr>
      <w:t xml:space="preserve">KOFIS City — Cahier des charges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4A2D8B"/>
      <w:sz w:val="30"/>
      <w:szCs w:val="30"/>
    </w:rPr>
  </w:style>
  <w:style w:type="paragraph" w:styleId="Heading2">
    <w:name w:val="Heading 2"/>
    <w:basedOn w:val="Normal"/>
    <w:next w:val="Normal"/>
    <w:qFormat/>
    <w:rPr>
      <w:rFonts w:ascii="Arial" w:cs="Arial" w:eastAsia="Arial" w:hAnsi="Arial"/>
      <w:b/>
      <w:bCs/>
      <w:color w:val="4A2D8B"/>
      <w:sz w:val="26"/>
      <w:szCs w:val="26"/>
    </w:rPr>
  </w:style>
  <w:style w:type="paragraph" w:styleId="Heading3">
    <w:name w:val="Heading 3"/>
    <w:basedOn w:val="Normal"/>
    <w:next w:val="Normal"/>
    <w:qFormat/>
    <w:rPr>
      <w:rFonts w:ascii="Arial" w:cs="Arial" w:eastAsia="Arial" w:hAnsi="Arial"/>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2026-07-25T10:14:07.541Z</dcterms:created>
  <dcterms:modified xsi:type="dcterms:W3CDTF">2026-07-25T10:14:07.555Z</dcterms:modified>
</cp:coreProperties>
</file>

<file path=docProps/custom.xml><?xml version="1.0" encoding="utf-8"?>
<Properties xmlns="http://schemas.openxmlformats.org/officeDocument/2006/custom-properties" xmlns:vt="http://schemas.openxmlformats.org/officeDocument/2006/docPropsVTypes"/>
</file>