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5): questa versione raccoglie i moduli assegnati e i tirocini del gruppo.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(Gruppo 1)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dei moduli del corso ARF assegnati al Gruppo 1.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Questa versione raccoglie i due moduli assegnati al nostro Gruppo 1 - Modulo 1 (il gioco e il ruolo dell'allenatore) e Modulo 5 (il tiro), evidenziati in blu - con le relative progressioni e i tirocini del gruppo in appendice.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(min.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l'Allenatore Nazionale è anche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Equilibrio, combinazione motoria, orientamento, differenziazione spazio-temporale, anticipazione, fantasia.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ci si contrae mentre si distende).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la 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rPr>
          <w:b/>
        </w:rPr>
        <w:t xml:space="preserve">Spostamento senza palla: </w:t>
      </w:r>
      <w:r>
        <w:t xml:space="preserve">linea continua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st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Palleggio: </w:t>
      </w:r>
      <w:r>
        <w:t xml:space="preserve">linea ondulata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legg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Passaggio: </w:t>
      </w:r>
      <w:r>
        <w:t xml:space="preserve">linea tratteggiata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g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Consegnato (hand-off): </w:t>
      </w:r>
      <w:r>
        <w:t xml:space="preserve">passaggio a contatto: linea che termina con una barra perpendicolare.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gn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Tiro: </w:t>
      </w:r>
      <w:r>
        <w:t xml:space="preserve">linea (freccia) verso il canestro con due trattini perpendicolari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Blocco: </w:t>
      </w:r>
      <w:r>
        <w:t xml:space="preserve">linea continua che termina con una barra a T nel punto del blocco.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rPr>
          <w:b/>
        </w:rPr>
        <w:t xml:space="preserve">Arresto a un tempo: </w:t>
      </w:r>
      <w:r>
        <w:t xml:space="preserve">due trattini paralleli (i due piedi atterrano insieme).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un_t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Arresto a due tempi: </w:t>
      </w:r>
      <w:r>
        <w:t xml:space="preserve">due trattini sfalsati; quello più arretrato rispetto alla direzione del giocatore indica il piede perno.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due_tem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circa a 45°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 sulla linea di fondo, distinti dal post basso.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184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1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Mezzo campo con i riferimenti verbali (punti del campo).</w:t>
      </w:r>
    </w:p>
    <w:p>
      <w:r>
        <w:rPr>
          <w:i/>
          <w:color w:val="555555"/>
          <w:sz w:val="19"/>
        </w:rPr>
        <w:t>Orientamento di riferimento: in tutto il quaderno i termini 'destra' e 'sinistra' si intendono sempre rispetto a questo orientamento del campo (visto da centrocampo, fronte a canestro).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Sequenza: prima alzo la palla, poi piego le gambe (peso sull'avampiede), piego e distendo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(movimento veloce verso il basso -&gt; salgo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(45° rispetto a frontale/diretto a canestro cambia la preparazione, con esercizi dedicati per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canestro. In tutti e quattro i casi l'atleta arriva in movimento ed esegue un arresto ad un tempo, fermandosi in posizione fondamentale; da quella base sviluppa la conclusione.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I passi: il primo appoggio (piede perno dinamico) lancia il movimento; il secondo passo (omologo o incrociato) guadagna spazio verso la linea di fondo.</w:t>
      </w:r>
    </w:p>
    <w:p>
      <w:pPr>
        <w:pStyle w:val="ListBullet2"/>
      </w:pPr>
      <w:r>
        <w:t>Tiro: stacco dal secondo piede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I passi: il primo passo pianta il corpo nell'area; il secondo passo (omologo o incrociato) taglia la strada al difensore muovendosi verso il ferro.</w:t>
      </w:r>
    </w:p>
    <w:p>
      <w:pPr>
        <w:pStyle w:val="ListBullet2"/>
      </w:pPr>
      <w:r>
        <w:t>Tiro: elevazione dal secondo piede e rilascio morbido a canestro con la mano sinistra, per proteggere la palla.</w:t>
      </w:r>
    </w:p>
    <w:p>
      <w:r>
        <w:rPr>
          <w:b/>
        </w:rPr>
        <w:t>Seconda coppia di posizioni (sotto canestro)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I passi: il primo appoggio avviene sotto il ferro; il secondo passo (omologo o incrociato)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I passi: i due appoggi in corsa (primo passo di reazione, secondo passo omologo o incrociato per darsi lo slancio verticale).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portata sul lato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auto-passaggio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che non spinge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spalle a canestro, con presa a due mani e salita della mano di tiro sotto il pallone, palla lontana dal difensore e frustata finale del polso; (2) alla stessa azione con disturbo del difensore, senza esporre la palla e mantenendo l'equilibrio durante la salita; (3) fino all'1c1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“Basket Collection”, Calzetti &amp; Mariucci.</w:t>
      </w:r>
    </w:p>
    <w:sectPr w:rsidR="00FC693F" w:rsidRPr="0006063C" w:rsidSect="00034616">
      <w:footerReference w:type="default" r:id="rId2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</dc:title>
  <dc:subject/>
  <dc:creator>Davide Bragetti</dc:creator>
  <cp:keywords/>
  <dc:description>generated by python-docx</dc:description>
  <cp:lastModifiedBy>Davide Bragetti</cp:lastModifiedBy>
  <cp:revision>1</cp:revision>
  <dcterms:created xsi:type="dcterms:W3CDTF">2026-06-28T20:02:23Z</dcterms:created>
  <dcterms:modified xsi:type="dcterms:W3CDTF">2026-06-30T19:14:09Z</dcterms:modified>
  <cp:category/>
</cp:coreProperties>
</file>