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 "Отчёт по лабораторной работе №6</w:t>
      </w:r>
    </w:p>
    <w:p>
      <w:pPr>
        <w:pStyle w:val="BodyText"/>
      </w:pPr>
      <w:r>
        <w:t xml:space="preserve">Математическое моделирование"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Задача об эпидемии. Вариант №20</w:t>
      </w:r>
      <w:r>
        <w:t xml:space="preserve">”</w:t>
      </w:r>
      <w:r>
        <w:t xml:space="preserve"> </w:t>
      </w:r>
      <w:r>
        <w:t xml:space="preserve">author: "Выполнил: Негматуллаев Бежан Шухратович ,</w:t>
      </w:r>
    </w:p>
    <w:p>
      <w:pPr>
        <w:pStyle w:val="BodyText"/>
      </w:pPr>
      <w:r>
        <w:t xml:space="preserve">НФИбд-02-21, 1032215469"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Times New Roman</w:t>
      </w:r>
      <w:r>
        <w:t xml:space="preserve"> </w:t>
      </w:r>
      <w:r>
        <w:t xml:space="preserve">romanfont: Times New Roman</w:t>
      </w:r>
      <w:r>
        <w:t xml:space="preserve"> </w:t>
      </w:r>
      <w:r>
        <w:t xml:space="preserve">sansfont: Times New Roman</w:t>
      </w:r>
      <w:r>
        <w:t xml:space="preserve"> </w:t>
      </w:r>
      <w:r>
        <w:t xml:space="preserve">monofont: Times New Roman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эпидемии.</w:t>
      </w:r>
    </w:p>
    <w:bookmarkEnd w:id="26"/>
    <w:bookmarkStart w:id="27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Start w:id="28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20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(N=17 854)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I(0)=199, А число здоровых людей с</w:t>
      </w:r>
      <w:r>
        <w:t xml:space="preserve"> </w:t>
      </w:r>
      <w:r>
        <w:t xml:space="preserve">иммунитетом к болезни R(0)=35.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3"/>
        </w:numPr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3"/>
        </w:numPr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8"/>
    <w:bookmarkStart w:id="29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случаях:</w:t>
      </w:r>
    </w:p>
    <w:p>
      <w:pPr>
        <w:numPr>
          <w:ilvl w:val="0"/>
          <w:numId w:val="1004"/>
        </w:numPr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4"/>
        </w:numPr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9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6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30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10700</w:t>
      </w:r>
      <w:r>
        <w:br/>
      </w:r>
      <w:r>
        <w:rPr>
          <w:rStyle w:val="VerbatimChar"/>
        </w:rPr>
        <w:t xml:space="preserve">I0 = 121 # заболевшие особи</w:t>
      </w:r>
      <w:r>
        <w:br/>
      </w:r>
      <w:r>
        <w:rPr>
          <w:rStyle w:val="VerbatimChar"/>
        </w:rPr>
        <w:t xml:space="preserve">R0 = 50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0.4 # коэффициент заболеваемости</w:t>
      </w:r>
      <w:r>
        <w:br/>
      </w:r>
      <w:r>
        <w:rPr>
          <w:rStyle w:val="VerbatimChar"/>
        </w:rPr>
        <w:t xml:space="preserve">beta = 0.3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&lt;=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S, I, R = u</w:t>
      </w:r>
      <w:r>
        <w:br/>
      </w:r>
      <w:r>
        <w:rPr>
          <w:rStyle w:val="VerbatimChar"/>
        </w:rPr>
        <w:t xml:space="preserve">  du[1] = 0</w:t>
      </w:r>
      <w:r>
        <w:br/>
      </w:r>
      <w:r>
        <w:rPr>
          <w:rStyle w:val="VerbatimChar"/>
        </w:rPr>
        <w:t xml:space="preserve">  du[2] = -beta*u[2]</w:t>
      </w:r>
      <w:r>
        <w:br/>
      </w:r>
      <w:r>
        <w:rPr>
          <w:rStyle w:val="VerbatimChar"/>
        </w:rPr>
        <w:t xml:space="preserve">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legend = :topright)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S,</w:t>
      </w:r>
      <w:r>
        <w:br/>
      </w:r>
      <w:r>
        <w:rPr>
          <w:rStyle w:val="VerbatimChar"/>
        </w:rPr>
        <w:t xml:space="preserve">      label = "Восприимчивые особи",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I,</w:t>
      </w:r>
      <w:r>
        <w:br/>
      </w:r>
      <w:r>
        <w:rPr>
          <w:rStyle w:val="VerbatimChar"/>
        </w:rPr>
        <w:t xml:space="preserve">      label = "Инфицированные особи",</w:t>
      </w:r>
      <w:r>
        <w:br/>
      </w:r>
      <w:r>
        <w:rPr>
          <w:rStyle w:val="VerbatimChar"/>
        </w:rPr>
        <w:t xml:space="preserve">      color = :green)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R,</w:t>
      </w:r>
      <w:r>
        <w:br/>
      </w:r>
      <w:r>
        <w:rPr>
          <w:rStyle w:val="VerbatimChar"/>
        </w:rPr>
        <w:t xml:space="preserve">      label = "Особи с иммунитетом",</w:t>
      </w:r>
      <w:r>
        <w:br/>
      </w:r>
      <w:r>
        <w:rPr>
          <w:rStyle w:val="VerbatimChar"/>
        </w:rPr>
        <w:t xml:space="preserve">      color = :red)</w:t>
      </w:r>
      <w:r>
        <w:br/>
      </w:r>
      <w:r>
        <w:br/>
      </w:r>
      <w:r>
        <w:rPr>
          <w:rStyle w:val="VerbatimChar"/>
        </w:rPr>
        <w:t xml:space="preserve">savefig(plt, "6_1.png")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10700</w:t>
      </w:r>
      <w:r>
        <w:br/>
      </w:r>
      <w:r>
        <w:rPr>
          <w:rStyle w:val="VerbatimChar"/>
        </w:rPr>
        <w:t xml:space="preserve">I0 = 121 # заболевшие особи</w:t>
      </w:r>
      <w:r>
        <w:br/>
      </w:r>
      <w:r>
        <w:rPr>
          <w:rStyle w:val="VerbatimChar"/>
        </w:rPr>
        <w:t xml:space="preserve">R0 = 50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0.4 # коэффициент заболеваемости</w:t>
      </w:r>
      <w:r>
        <w:br/>
      </w:r>
      <w:r>
        <w:rPr>
          <w:rStyle w:val="VerbatimChar"/>
        </w:rPr>
        <w:t xml:space="preserve">beta = 0.3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S, I, R = u</w:t>
      </w:r>
      <w:r>
        <w:br/>
      </w:r>
      <w:r>
        <w:rPr>
          <w:rStyle w:val="VerbatimChar"/>
        </w:rPr>
        <w:t xml:space="preserve">  du[1] = -alpha*u[1]</w:t>
      </w:r>
      <w:r>
        <w:br/>
      </w:r>
      <w:r>
        <w:rPr>
          <w:rStyle w:val="VerbatimChar"/>
        </w:rPr>
        <w:t xml:space="preserve">  du[2] = alpha*u[1] - beta*u[2]</w:t>
      </w:r>
      <w:r>
        <w:br/>
      </w:r>
      <w:r>
        <w:rPr>
          <w:rStyle w:val="VerbatimChar"/>
        </w:rPr>
        <w:t xml:space="preserve">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legend = :right)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S,</w:t>
      </w:r>
      <w:r>
        <w:br/>
      </w:r>
      <w:r>
        <w:rPr>
          <w:rStyle w:val="VerbatimChar"/>
        </w:rPr>
        <w:t xml:space="preserve">      label = "Восприимчивые особи",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I,</w:t>
      </w:r>
      <w:r>
        <w:br/>
      </w:r>
      <w:r>
        <w:rPr>
          <w:rStyle w:val="VerbatimChar"/>
        </w:rPr>
        <w:t xml:space="preserve">      label = "Инфицированные особи",</w:t>
      </w:r>
      <w:r>
        <w:br/>
      </w:r>
      <w:r>
        <w:rPr>
          <w:rStyle w:val="VerbatimChar"/>
        </w:rPr>
        <w:t xml:space="preserve">      color = 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R,</w:t>
      </w:r>
      <w:r>
        <w:br/>
      </w:r>
      <w:r>
        <w:rPr>
          <w:rStyle w:val="VerbatimChar"/>
        </w:rPr>
        <w:t xml:space="preserve">      label = "Особи с иммунитетом",</w:t>
      </w:r>
      <w:r>
        <w:br/>
      </w:r>
      <w:r>
        <w:rPr>
          <w:rStyle w:val="VerbatimChar"/>
        </w:rPr>
        <w:t xml:space="preserve">      color = :red)</w:t>
      </w:r>
      <w:r>
        <w:br/>
      </w:r>
      <w:r>
        <w:br/>
      </w:r>
      <w:r>
        <w:br/>
      </w:r>
      <w:r>
        <w:rPr>
          <w:rStyle w:val="VerbatimChar"/>
        </w:rPr>
        <w:t xml:space="preserve">savefig(plt, "6_2.png")</w:t>
      </w:r>
    </w:p>
    <w:bookmarkEnd w:id="30"/>
    <w:bookmarkStart w:id="35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bookmarkStart w:id="32" w:name="fig:001"/>
      <w:r>
        <w:drawing>
          <wp:inline>
            <wp:extent cx="5334000" cy="3556000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" id="1" name="Picture"/>
            <a:graphic>
              <a:graphicData uri="http://schemas.openxmlformats.org/drawingml/2006/picture">
                <pic:pic>
                  <pic:nvPicPr>
                    <pic:cNvPr descr="Screens/6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изолированы</w:t>
      </w:r>
    </w:p>
    <w:p>
      <w:pPr>
        <w:pStyle w:val="CaptionedFigure"/>
      </w:pPr>
      <w:bookmarkStart w:id="34" w:name="fig:002"/>
      <w:r>
        <w:drawing>
          <wp:inline>
            <wp:extent cx="5334000" cy="3556000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" id="1" name="Picture"/>
            <a:graphic>
              <a:graphicData uri="http://schemas.openxmlformats.org/drawingml/2006/picture">
                <pic:pic>
                  <pic:nvPicPr>
                    <pic:cNvPr descr="Screens/6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могут заражать особей группы S</w:t>
      </w:r>
    </w:p>
    <w:bookmarkEnd w:id="35"/>
    <w:bookmarkEnd w:id="36"/>
    <w:bookmarkEnd w:id="37"/>
    <w:bookmarkStart w:id="38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p>
      <w:pPr>
        <w:pStyle w:val="BodyText"/>
      </w:pPr>
      <w:r>
        <w:t xml:space="preserve"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построена модель на языках Julia и Open Modelica.</w:t>
      </w:r>
    </w:p>
    <w:bookmarkEnd w:id="39"/>
    <w:bookmarkStart w:id="40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Конструирование эпидемиологических моделей: https://habr.com/ru/post/551682/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2024-03-15T13:43:18Z</dcterms:created>
  <dcterms:modified xsi:type="dcterms:W3CDTF">2024-03-15T13:43:18Z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