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"Отчёт по лабораторной работе №4</w:t>
      </w:r>
    </w:p>
    <w:p>
      <w:pPr>
        <w:pStyle w:val="BodyText"/>
      </w:pPr>
      <w:r>
        <w:t xml:space="preserve">Математическое моделирование"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гармонических колебаний. Вариант №20</w:t>
      </w:r>
      <w:r>
        <w:t xml:space="preserve">”</w:t>
      </w:r>
      <w:r>
        <w:t xml:space="preserve"> </w:t>
      </w:r>
      <w:r>
        <w:t xml:space="preserve">author: "Выполнил: Негматуллаев Бежан Шухратович,</w:t>
      </w:r>
    </w:p>
    <w:p>
      <w:pPr>
        <w:pStyle w:val="BodyText"/>
      </w:pPr>
      <w:r>
        <w:t xml:space="preserve">НФИбд-02-21, 1032215469"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Times New Roman</w:t>
      </w:r>
      <w:r>
        <w:t xml:space="preserve"> </w:t>
      </w:r>
      <w:r>
        <w:t xml:space="preserve">romanfont: Times New Roman</w:t>
      </w:r>
      <w:r>
        <w:t xml:space="preserve"> </w:t>
      </w:r>
      <w:r>
        <w:t xml:space="preserve">sansfont: Times New Roman</w:t>
      </w:r>
      <w:r>
        <w:t xml:space="preserve"> </w:t>
      </w:r>
      <w:r>
        <w:t xml:space="preserve">monofont: Times New Roman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6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3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4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4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4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5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8"/>
    <w:bookmarkStart w:id="29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20: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0.8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77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</m:oMath>
      <w:r>
        <w:t xml:space="preserve">.</w:t>
      </w:r>
    </w:p>
    <w:bookmarkEnd w:id="29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8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30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0.8</w:t>
      </w:r>
      <w:r>
        <w:br/>
      </w:r>
      <w:r>
        <w:rPr>
          <w:rStyle w:val="VerbatimChar"/>
        </w:rPr>
        <w:t xml:space="preserve">g = 0.0</w:t>
      </w:r>
      <w:r>
        <w:br/>
      </w:r>
      <w:r>
        <w:rPr>
          <w:rStyle w:val="VerbatimChar"/>
        </w:rPr>
        <w:t xml:space="preserve">x₀ = 0.4</w:t>
      </w:r>
      <w:r>
        <w:br/>
      </w:r>
      <w:r>
        <w:rPr>
          <w:rStyle w:val="VerbatimChar"/>
        </w:rPr>
        <w:t xml:space="preserve">y₀ = 0.3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41.0)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0.4</w:t>
      </w:r>
      <w:r>
        <w:br/>
      </w:r>
      <w:r>
        <w:rPr>
          <w:rStyle w:val="VerbatimChar"/>
        </w:rPr>
        <w:t xml:space="preserve">g = 0.8</w:t>
      </w:r>
      <w:r>
        <w:br/>
      </w:r>
      <w:r>
        <w:rPr>
          <w:rStyle w:val="VerbatimChar"/>
        </w:rPr>
        <w:t xml:space="preserve">x₀ = 0.4</w:t>
      </w:r>
      <w:r>
        <w:br/>
      </w:r>
      <w:r>
        <w:rPr>
          <w:rStyle w:val="VerbatimChar"/>
        </w:rPr>
        <w:t xml:space="preserve">y₀ = 0.3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41.0)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"jl2.png")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5.0</w:t>
      </w:r>
      <w:r>
        <w:br/>
      </w:r>
      <w:r>
        <w:rPr>
          <w:rStyle w:val="VerbatimChar"/>
        </w:rPr>
        <w:t xml:space="preserve">g = 1.0</w:t>
      </w:r>
      <w:r>
        <w:br/>
      </w:r>
      <w:r>
        <w:rPr>
          <w:rStyle w:val="VerbatimChar"/>
        </w:rPr>
        <w:t xml:space="preserve">x₀ = 0.4</w:t>
      </w:r>
      <w:r>
        <w:br/>
      </w:r>
      <w:r>
        <w:rPr>
          <w:rStyle w:val="VerbatimChar"/>
        </w:rPr>
        <w:t xml:space="preserve">y₀ = 0.3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-(w*w)*u[1] - g*u[2] + cos(5*t)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41.0)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layout=(1,2),</w:t>
      </w:r>
      <w:r>
        <w:br/>
      </w:r>
      <w:r>
        <w:rPr>
          <w:rStyle w:val="VerbatimChar"/>
        </w:rPr>
        <w:t xml:space="preserve">           dpi=300,</w:t>
      </w:r>
      <w:r>
        <w:br/>
      </w:r>
      <w:r>
        <w:rPr>
          <w:rStyle w:val="VerbatimChar"/>
        </w:rPr>
        <w:t xml:space="preserve">         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plt[1],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уравнения",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plt[2],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title="Фазовый портрет",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br/>
      </w:r>
      <w:r>
        <w:rPr>
          <w:rStyle w:val="VerbatimChar"/>
        </w:rPr>
        <w:t xml:space="preserve">savefig(plt, "jl3.png")</w:t>
      </w:r>
    </w:p>
    <w:bookmarkEnd w:id="30"/>
    <w:bookmarkStart w:id="37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bookmarkStart w:id="32" w:name="fig:001"/>
      <w:r>
        <w:drawing>
          <wp:inline>
            <wp:extent cx="5334000" cy="3556000"/>
            <wp:effectExtent b="0" l="0" r="0" t="0"/>
            <wp:docPr descr="“Решение уравнения и фазовый портрет для колебания гармонического осциллятора без затуханий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Screens/j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bookmarkStart w:id="34" w:name="fig:002"/>
      <w:r>
        <w:drawing>
          <wp:inline>
            <wp:extent cx="5334000" cy="3556000"/>
            <wp:effectExtent b="0" l="0" r="0" t="0"/>
            <wp:docPr descr="“Решение уравнения и фазовый портрет для колебания гармонического осциллятора c затуханием и без действий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Screens/j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bookmarkStart w:id="36" w:name="fig:003"/>
      <w:r>
        <w:drawing>
          <wp:inline>
            <wp:extent cx="5334000" cy="3556000"/>
            <wp:effectExtent b="0" l="0" r="0" t="0"/>
            <wp:docPr descr="“Решение уравнения и фазовый портрет для колебания гармонического осциллятора cc затуханием и под действием внешней силы на языке Julia”" title="" id="1" name="Picture"/>
            <a:graphic>
              <a:graphicData uri="http://schemas.openxmlformats.org/drawingml/2006/picture">
                <pic:pic>
                  <pic:nvPicPr>
                    <pic:cNvPr descr="Screens/jl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“</w:t>
      </w:r>
      <w:r>
        <w:t xml:space="preserve">Решение уравнения и фазовый портрет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bookmarkEnd w:id="37"/>
    <w:bookmarkEnd w:id="38"/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языкe Julia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2024-03-01T14:39:54Z</dcterms:created>
  <dcterms:modified xsi:type="dcterms:W3CDTF">2024-03-01T14:39:54Z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