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F09A" w14:textId="49768834" w:rsidR="00F12C76" w:rsidRPr="003066AF" w:rsidRDefault="002902FC" w:rsidP="002902FC">
      <w:pPr>
        <w:spacing w:after="0" w:line="276" w:lineRule="auto"/>
        <w:ind w:left="-1276" w:right="-427"/>
        <w:jc w:val="both"/>
      </w:pPr>
      <w:r w:rsidRPr="003066AF">
        <w:t>Слайд 1 -----------------------------------------------------------------------------------------------------------</w:t>
      </w:r>
    </w:p>
    <w:p w14:paraId="3B0A486E" w14:textId="5BC18982" w:rsidR="002902FC" w:rsidRPr="003066AF" w:rsidRDefault="002902FC" w:rsidP="002902FC">
      <w:pPr>
        <w:spacing w:after="0" w:line="276" w:lineRule="auto"/>
        <w:ind w:left="-1276" w:right="-427"/>
        <w:jc w:val="both"/>
      </w:pPr>
      <w:r w:rsidRPr="003066AF">
        <w:t xml:space="preserve">Шановні голово та члени спеціалізованої вченої ради, </w:t>
      </w:r>
      <w:r w:rsidR="006B0519" w:rsidRPr="003066AF">
        <w:t xml:space="preserve">мене звати Завгородній Олексій Володимирович, </w:t>
      </w:r>
      <w:r w:rsidRPr="003066AF">
        <w:t xml:space="preserve">до Вашої уваги доповідь за результатами дисертаційної роботи на тему «Дослідження методами машинного навчання залізовмісних дефектів у кремнієвих </w:t>
      </w:r>
      <w:r w:rsidRPr="003066AF">
        <w:rPr>
          <w:i/>
          <w:iCs/>
        </w:rPr>
        <w:t>n</w:t>
      </w:r>
      <w:r w:rsidRPr="003066AF">
        <w:rPr>
          <w:i/>
          <w:iCs/>
          <w:vertAlign w:val="superscript"/>
        </w:rPr>
        <w:t>+</w:t>
      </w:r>
      <w:r w:rsidRPr="003066AF">
        <w:rPr>
          <w:i/>
          <w:iCs/>
        </w:rPr>
        <w:t>-p-p</w:t>
      </w:r>
      <w:r w:rsidRPr="003066AF">
        <w:rPr>
          <w:i/>
          <w:iCs/>
          <w:vertAlign w:val="superscript"/>
        </w:rPr>
        <w:t>+</w:t>
      </w:r>
      <w:r w:rsidRPr="003066AF">
        <w:t xml:space="preserve"> структурах»</w:t>
      </w:r>
      <w:r w:rsidR="006B0519" w:rsidRPr="003066AF">
        <w:t xml:space="preserve">. Науковий керівник доктор фізико-математичних наук, професор кафедри загальної фізики </w:t>
      </w:r>
      <w:proofErr w:type="spellStart"/>
      <w:r w:rsidR="006B0519" w:rsidRPr="003066AF">
        <w:t>Оліх</w:t>
      </w:r>
      <w:proofErr w:type="spellEnd"/>
      <w:r w:rsidR="006B0519" w:rsidRPr="003066AF">
        <w:t xml:space="preserve"> Олег Ярославович.</w:t>
      </w:r>
    </w:p>
    <w:p w14:paraId="5A2D143F" w14:textId="52695878" w:rsidR="006B0519" w:rsidRPr="003066AF" w:rsidRDefault="006B0519" w:rsidP="002902FC">
      <w:pPr>
        <w:spacing w:after="0" w:line="276" w:lineRule="auto"/>
        <w:ind w:left="-1276" w:right="-427"/>
        <w:jc w:val="both"/>
      </w:pPr>
      <w:r w:rsidRPr="003066AF">
        <w:t>Слайд 2 -----------------------------------------------------------------------------------------------------------</w:t>
      </w:r>
    </w:p>
    <w:p w14:paraId="2E37CEFE" w14:textId="5AD90313" w:rsidR="006B0519" w:rsidRPr="003066AF" w:rsidRDefault="00884271" w:rsidP="002902FC">
      <w:pPr>
        <w:spacing w:after="0" w:line="276" w:lineRule="auto"/>
        <w:ind w:left="-1276" w:right="-427"/>
        <w:jc w:val="both"/>
      </w:pPr>
      <w:r w:rsidRPr="003066AF">
        <w:t xml:space="preserve">На сучасному етапі розвитку людства однією з нагальних потреб є розвиток відновлювальної енергетики. Серед найбільш поширених шляхів вирішення цього завдання є використання фотоелектричних перетворювачів. В свою чергу, основою галузі є кремнієві сонячні елементи, які складають понад 90% світового ринку фотоелектричних перетворювачів. Водночас, ефективність таких елементів істотно обмежується </w:t>
      </w:r>
      <w:r w:rsidR="005256A8" w:rsidRPr="003066AF">
        <w:t>наявністю</w:t>
      </w:r>
      <w:r w:rsidRPr="003066AF">
        <w:t xml:space="preserve"> домішок, серед яких особливу роль відіграють атоми заліза. Залізо формує глибокі енергетичні рівні у забороненій зоні кремнію, активізує рекомбінаційні процеси та зменшує час життя носіїв заряду, що безпосередньо впливає на фотоелектричні параметри сонячних елементів. У зв’язку з цим актуальним є створення швидких, дешевих та неруйнівних методів кількісної оцінки концентрації заліза.</w:t>
      </w:r>
    </w:p>
    <w:p w14:paraId="3C0DFC40" w14:textId="41BA7CC9" w:rsidR="006564F8" w:rsidRPr="003066AF" w:rsidRDefault="006564F8" w:rsidP="002902FC">
      <w:pPr>
        <w:spacing w:after="0" w:line="276" w:lineRule="auto"/>
        <w:ind w:left="-1276" w:right="-427"/>
        <w:jc w:val="both"/>
      </w:pPr>
      <w:r w:rsidRPr="003066AF">
        <w:t>Слайд 3 -----------------------------------------------------------------------------------------------------------</w:t>
      </w:r>
    </w:p>
    <w:p w14:paraId="25A89395" w14:textId="3F157825" w:rsidR="006564F8" w:rsidRPr="00084C97" w:rsidRDefault="006564F8" w:rsidP="00084C97">
      <w:pPr>
        <w:spacing w:line="276" w:lineRule="auto"/>
        <w:ind w:left="-1276" w:right="-427"/>
        <w:jc w:val="both"/>
        <w:rPr>
          <w:color w:val="FF0000"/>
        </w:rPr>
      </w:pPr>
      <w:r w:rsidRPr="003066AF">
        <w:t xml:space="preserve">Традиційні методи </w:t>
      </w:r>
      <w:proofErr w:type="spellStart"/>
      <w:r w:rsidRPr="003066AF">
        <w:t>характеризації</w:t>
      </w:r>
      <w:proofErr w:type="spellEnd"/>
      <w:r w:rsidRPr="003066AF">
        <w:t xml:space="preserve"> дефектів, такі як перехідна спектроскопія глибоких рівнів</w:t>
      </w:r>
      <w:r w:rsidR="000A695B" w:rsidRPr="003066AF">
        <w:t xml:space="preserve">, </w:t>
      </w:r>
      <w:r w:rsidRPr="003066AF">
        <w:t>інфрачервона Фур’є-спектроскопія</w:t>
      </w:r>
      <w:r w:rsidR="000A695B" w:rsidRPr="003066AF">
        <w:t xml:space="preserve"> тощо</w:t>
      </w:r>
      <w:r w:rsidRPr="003066AF">
        <w:t xml:space="preserve">, хоча й забезпечують високу точність, мають низку суттєвих обмежень. </w:t>
      </w:r>
      <w:r w:rsidR="006D1AAE" w:rsidRPr="003066AF">
        <w:t xml:space="preserve">А саме: </w:t>
      </w:r>
      <w:proofErr w:type="spellStart"/>
      <w:r w:rsidR="00084C97" w:rsidRPr="00084C97">
        <w:rPr>
          <w:color w:val="FF0000"/>
          <w:lang w:val="ru-RU"/>
        </w:rPr>
        <w:t>необхідність</w:t>
      </w:r>
      <w:proofErr w:type="spellEnd"/>
      <w:r w:rsidR="00084C97" w:rsidRPr="00084C97">
        <w:rPr>
          <w:color w:val="FF0000"/>
          <w:lang w:val="ru-RU"/>
        </w:rPr>
        <w:t xml:space="preserve"> </w:t>
      </w:r>
      <w:proofErr w:type="spellStart"/>
      <w:r w:rsidR="00084C97" w:rsidRPr="00084C97">
        <w:rPr>
          <w:color w:val="FF0000"/>
          <w:lang w:val="ru-RU"/>
        </w:rPr>
        <w:t>спеціальної</w:t>
      </w:r>
      <w:proofErr w:type="spellEnd"/>
      <w:r w:rsidR="00084C97" w:rsidRPr="00084C97">
        <w:rPr>
          <w:color w:val="FF0000"/>
          <w:lang w:val="ru-RU"/>
        </w:rPr>
        <w:t xml:space="preserve"> </w:t>
      </w:r>
      <w:proofErr w:type="spellStart"/>
      <w:r w:rsidR="00084C97" w:rsidRPr="00084C97">
        <w:rPr>
          <w:color w:val="FF0000"/>
          <w:lang w:val="ru-RU"/>
        </w:rPr>
        <w:t>підготовки</w:t>
      </w:r>
      <w:proofErr w:type="spellEnd"/>
      <w:r w:rsidR="00084C97" w:rsidRPr="00084C97">
        <w:rPr>
          <w:color w:val="FF0000"/>
          <w:lang w:val="ru-RU"/>
        </w:rPr>
        <w:t xml:space="preserve"> </w:t>
      </w:r>
      <w:proofErr w:type="spellStart"/>
      <w:r w:rsidR="00084C97" w:rsidRPr="00084C97">
        <w:rPr>
          <w:color w:val="FF0000"/>
          <w:lang w:val="ru-RU"/>
        </w:rPr>
        <w:t>зразків</w:t>
      </w:r>
      <w:proofErr w:type="spellEnd"/>
      <w:r w:rsidR="00084C97">
        <w:rPr>
          <w:color w:val="FF0000"/>
        </w:rPr>
        <w:t xml:space="preserve">, </w:t>
      </w:r>
      <w:r w:rsidR="00084C97" w:rsidRPr="00084C97">
        <w:rPr>
          <w:color w:val="FF0000"/>
          <w:lang w:val="ru-RU"/>
        </w:rPr>
        <w:t xml:space="preserve">потреба </w:t>
      </w:r>
      <w:proofErr w:type="spellStart"/>
      <w:r w:rsidR="00084C97" w:rsidRPr="00084C97">
        <w:rPr>
          <w:color w:val="FF0000"/>
          <w:lang w:val="ru-RU"/>
        </w:rPr>
        <w:t>висококваліфікованого</w:t>
      </w:r>
      <w:proofErr w:type="spellEnd"/>
      <w:r w:rsidR="00084C97" w:rsidRPr="00084C97">
        <w:rPr>
          <w:color w:val="FF0000"/>
          <w:lang w:val="ru-RU"/>
        </w:rPr>
        <w:t xml:space="preserve"> персонал</w:t>
      </w:r>
      <w:r w:rsidR="00084C97">
        <w:rPr>
          <w:color w:val="FF0000"/>
          <w:lang w:val="ru-RU"/>
        </w:rPr>
        <w:t xml:space="preserve">у, </w:t>
      </w:r>
      <w:r w:rsidR="00084C97" w:rsidRPr="00084C97">
        <w:rPr>
          <w:color w:val="FF0000"/>
        </w:rPr>
        <w:t>чутливість лише до певних типів дефектів</w:t>
      </w:r>
      <w:r w:rsidR="00084C97">
        <w:rPr>
          <w:color w:val="FF0000"/>
        </w:rPr>
        <w:t xml:space="preserve">, </w:t>
      </w:r>
      <w:proofErr w:type="spellStart"/>
      <w:r w:rsidR="00084C97" w:rsidRPr="00084C97">
        <w:rPr>
          <w:color w:val="FF0000"/>
          <w:lang w:val="ru-RU"/>
        </w:rPr>
        <w:t>висока</w:t>
      </w:r>
      <w:proofErr w:type="spellEnd"/>
      <w:r w:rsidR="00084C97" w:rsidRPr="00084C97">
        <w:rPr>
          <w:color w:val="FF0000"/>
          <w:lang w:val="ru-RU"/>
        </w:rPr>
        <w:t xml:space="preserve"> </w:t>
      </w:r>
      <w:proofErr w:type="spellStart"/>
      <w:r w:rsidR="00084C97" w:rsidRPr="00084C97">
        <w:rPr>
          <w:color w:val="FF0000"/>
          <w:lang w:val="ru-RU"/>
        </w:rPr>
        <w:t>вартість</w:t>
      </w:r>
      <w:proofErr w:type="spellEnd"/>
      <w:r w:rsidR="00084C97" w:rsidRPr="00084C97">
        <w:rPr>
          <w:color w:val="FF0000"/>
          <w:lang w:val="ru-RU"/>
        </w:rPr>
        <w:t xml:space="preserve"> </w:t>
      </w:r>
      <w:proofErr w:type="spellStart"/>
      <w:r w:rsidR="00084C97" w:rsidRPr="00084C97">
        <w:rPr>
          <w:color w:val="FF0000"/>
          <w:lang w:val="ru-RU"/>
        </w:rPr>
        <w:t>обладнання</w:t>
      </w:r>
      <w:proofErr w:type="spellEnd"/>
      <w:r w:rsidR="00084C97">
        <w:rPr>
          <w:color w:val="FF0000"/>
          <w:lang w:val="ru-RU"/>
        </w:rPr>
        <w:t xml:space="preserve">, </w:t>
      </w:r>
      <w:proofErr w:type="spellStart"/>
      <w:r w:rsidR="00084C97" w:rsidRPr="00084C97">
        <w:rPr>
          <w:color w:val="FF0000"/>
        </w:rPr>
        <w:t>довготривалість</w:t>
      </w:r>
      <w:proofErr w:type="spellEnd"/>
      <w:r w:rsidR="00084C97" w:rsidRPr="00084C97">
        <w:rPr>
          <w:color w:val="FF0000"/>
        </w:rPr>
        <w:t xml:space="preserve"> експериментів</w:t>
      </w:r>
      <w:r w:rsidR="00084C97">
        <w:rPr>
          <w:color w:val="FF0000"/>
        </w:rPr>
        <w:t xml:space="preserve"> та потреба у використанні </w:t>
      </w:r>
      <w:r w:rsidR="00084C97" w:rsidRPr="00084C97">
        <w:rPr>
          <w:color w:val="FF0000"/>
        </w:rPr>
        <w:t>нетрадиційних умов експерименту</w:t>
      </w:r>
      <w:r w:rsidR="00084C97">
        <w:rPr>
          <w:color w:val="FF0000"/>
        </w:rPr>
        <w:t>.</w:t>
      </w:r>
    </w:p>
    <w:p w14:paraId="0CA44CA1" w14:textId="0CF2AD59" w:rsidR="006D1AAE" w:rsidRPr="003066AF" w:rsidRDefault="006D1AAE" w:rsidP="002902FC">
      <w:pPr>
        <w:spacing w:after="0" w:line="276" w:lineRule="auto"/>
        <w:ind w:left="-1276" w:right="-427"/>
        <w:jc w:val="both"/>
      </w:pPr>
      <w:r w:rsidRPr="003066AF">
        <w:t>Слайд 4 -----------------------------------------------------------------------------------------------------------</w:t>
      </w:r>
    </w:p>
    <w:p w14:paraId="42542183" w14:textId="7047393A" w:rsidR="006D1AAE" w:rsidRPr="003066AF" w:rsidRDefault="003E4DCE" w:rsidP="002902FC">
      <w:pPr>
        <w:spacing w:after="0" w:line="276" w:lineRule="auto"/>
        <w:ind w:left="-1276" w:right="-427"/>
        <w:jc w:val="both"/>
      </w:pPr>
      <w:r w:rsidRPr="003066AF">
        <w:t>У даній роботі запропоновано альтернативний підхід, що базується на використанні стандартних вольт-амперних характеристик сонячних елементів у поєднанні з методами машинного навчання, здатними виявляти приховані кореляції між фізичними параметрами та концентрацією дефектів.</w:t>
      </w:r>
    </w:p>
    <w:p w14:paraId="6EE055EF" w14:textId="75D95137" w:rsidR="003E4DCE" w:rsidRPr="003066AF" w:rsidRDefault="003E4DCE" w:rsidP="002902FC">
      <w:pPr>
        <w:spacing w:after="0" w:line="276" w:lineRule="auto"/>
        <w:ind w:left="-1276" w:right="-427"/>
        <w:jc w:val="both"/>
      </w:pPr>
      <w:r w:rsidRPr="003066AF">
        <w:t>Слайд 5 -----------------------------------------------------------------------------------------------------------</w:t>
      </w:r>
    </w:p>
    <w:p w14:paraId="00A687A0" w14:textId="443C0B91" w:rsidR="003E4DCE" w:rsidRPr="003066AF" w:rsidRDefault="00084C97" w:rsidP="00084C97">
      <w:pPr>
        <w:spacing w:line="276" w:lineRule="auto"/>
        <w:ind w:left="-1276" w:right="-427"/>
        <w:jc w:val="both"/>
        <w:rPr>
          <w:color w:val="EE0000"/>
        </w:rPr>
      </w:pPr>
      <w:r>
        <w:rPr>
          <w:color w:val="EE0000"/>
        </w:rPr>
        <w:t>Метою роботи було в</w:t>
      </w:r>
      <w:r w:rsidRPr="00084C97">
        <w:rPr>
          <w:color w:val="EE0000"/>
        </w:rPr>
        <w:t xml:space="preserve">ивчення впливу залізовмісних дефектів на властивості кремнієвих сонячних елементів в широкому діапазоні зовнішніх умов та параметрів структур; розробка </w:t>
      </w:r>
      <w:proofErr w:type="spellStart"/>
      <w:r w:rsidRPr="00084C97">
        <w:rPr>
          <w:color w:val="EE0000"/>
        </w:rPr>
        <w:t>методик</w:t>
      </w:r>
      <w:proofErr w:type="spellEnd"/>
      <w:r w:rsidRPr="00084C97">
        <w:rPr>
          <w:color w:val="EE0000"/>
        </w:rPr>
        <w:t xml:space="preserve"> </w:t>
      </w:r>
      <w:proofErr w:type="spellStart"/>
      <w:r w:rsidRPr="00084C97">
        <w:rPr>
          <w:color w:val="EE0000"/>
        </w:rPr>
        <w:t>характеризації</w:t>
      </w:r>
      <w:proofErr w:type="spellEnd"/>
      <w:r w:rsidRPr="00084C97">
        <w:rPr>
          <w:color w:val="EE0000"/>
        </w:rPr>
        <w:t xml:space="preserve"> дефектів на основі аналізу вольт-амперних характеристик із застосуванням алгоритмів машинного навчання</w:t>
      </w:r>
      <w:r>
        <w:rPr>
          <w:color w:val="EE0000"/>
        </w:rPr>
        <w:t>. Предметом дослідження були з</w:t>
      </w:r>
      <w:r w:rsidRPr="00084C97">
        <w:rPr>
          <w:color w:val="EE0000"/>
        </w:rPr>
        <w:t xml:space="preserve">акономірності впливу залізовмісних дефектів на фотоелектричні параметри кремнієвих сонячних елементів; розробка </w:t>
      </w:r>
      <w:proofErr w:type="spellStart"/>
      <w:r w:rsidRPr="00084C97">
        <w:rPr>
          <w:color w:val="EE0000"/>
        </w:rPr>
        <w:t>методик</w:t>
      </w:r>
      <w:proofErr w:type="spellEnd"/>
      <w:r w:rsidRPr="00084C97">
        <w:rPr>
          <w:color w:val="EE0000"/>
        </w:rPr>
        <w:t xml:space="preserve"> прогнозування концентрації заліза з використанням алгоритмів машинного навчання та моделей комп’ютерного зору</w:t>
      </w:r>
      <w:r>
        <w:rPr>
          <w:color w:val="EE0000"/>
        </w:rPr>
        <w:t>. Об’єктом дослідження були к</w:t>
      </w:r>
      <w:r w:rsidRPr="00084C97">
        <w:rPr>
          <w:color w:val="EE0000"/>
        </w:rPr>
        <w:t xml:space="preserve">ремнієві сонячні елементи </w:t>
      </w:r>
      <w:r w:rsidRPr="00084C97">
        <w:rPr>
          <w:i/>
          <w:iCs/>
          <w:color w:val="EE0000"/>
          <w:lang w:val="ru-RU"/>
        </w:rPr>
        <w:t>n</w:t>
      </w:r>
      <w:r w:rsidRPr="00084C97">
        <w:rPr>
          <w:i/>
          <w:iCs/>
          <w:color w:val="EE0000"/>
        </w:rPr>
        <w:t>⁺-</w:t>
      </w:r>
      <w:r w:rsidRPr="00084C97">
        <w:rPr>
          <w:i/>
          <w:iCs/>
          <w:color w:val="EE0000"/>
          <w:lang w:val="ru-RU"/>
        </w:rPr>
        <w:t>p</w:t>
      </w:r>
      <w:r w:rsidRPr="00084C97">
        <w:rPr>
          <w:i/>
          <w:iCs/>
          <w:color w:val="EE0000"/>
        </w:rPr>
        <w:t>-</w:t>
      </w:r>
      <w:r w:rsidRPr="00084C97">
        <w:rPr>
          <w:i/>
          <w:iCs/>
          <w:color w:val="EE0000"/>
          <w:lang w:val="ru-RU"/>
        </w:rPr>
        <w:t>p</w:t>
      </w:r>
      <w:r w:rsidRPr="00084C97">
        <w:rPr>
          <w:i/>
          <w:iCs/>
          <w:color w:val="EE0000"/>
        </w:rPr>
        <w:t>⁺</w:t>
      </w:r>
      <w:r w:rsidRPr="00084C97">
        <w:rPr>
          <w:color w:val="EE0000"/>
        </w:rPr>
        <w:t xml:space="preserve"> типу з домішками заліза</w:t>
      </w:r>
    </w:p>
    <w:p w14:paraId="69490709" w14:textId="2AFA70FA" w:rsidR="006B0519" w:rsidRPr="003066AF" w:rsidRDefault="00E15884" w:rsidP="002902FC">
      <w:pPr>
        <w:spacing w:after="0" w:line="276" w:lineRule="auto"/>
        <w:ind w:left="-1276" w:right="-427"/>
        <w:jc w:val="both"/>
      </w:pPr>
      <w:r w:rsidRPr="003066AF">
        <w:t>Слайд 6 -----------------------------------------------------------------------------------------------------------</w:t>
      </w:r>
    </w:p>
    <w:p w14:paraId="2720AAC2" w14:textId="07F953B5" w:rsidR="00E15884" w:rsidRDefault="003066AF" w:rsidP="002902FC">
      <w:pPr>
        <w:spacing w:after="0" w:line="276" w:lineRule="auto"/>
        <w:ind w:left="-1276" w:right="-427"/>
        <w:jc w:val="both"/>
      </w:pPr>
      <w:r w:rsidRPr="003066AF">
        <w:t xml:space="preserve">У роботі використано комплекс взаємодоповнюючих експериментальних та чисельних методів дослідження. Чисельне моделювання в пакеті SCAPS-1D застосовувалося для аналізу впливу залізовмісних дефектів на фотоелектричні параметри та для формування </w:t>
      </w:r>
      <w:r w:rsidRPr="003066AF">
        <w:lastRenderedPageBreak/>
        <w:t xml:space="preserve">синтетичної бази даних. Експериментальна частина базувалася на вимірюванні вольт-амперних характеристик та кінетики струму короткого замикання після дисоціації пар </w:t>
      </w:r>
      <w:proofErr w:type="spellStart"/>
      <w:r w:rsidRPr="003066AF">
        <w:t>FeB</w:t>
      </w:r>
      <w:proofErr w:type="spellEnd"/>
      <w:r w:rsidRPr="003066AF">
        <w:t>. Для кількісної оцінки концентрації заліза використовувалися алгоритми машинного навчання та моделі комп’ютерного зору.</w:t>
      </w:r>
    </w:p>
    <w:p w14:paraId="23E2BB5E" w14:textId="2A4EC379" w:rsidR="003066AF" w:rsidRDefault="003066AF" w:rsidP="002902FC">
      <w:pPr>
        <w:spacing w:after="0" w:line="276" w:lineRule="auto"/>
        <w:ind w:left="-1276" w:right="-427"/>
        <w:jc w:val="both"/>
      </w:pPr>
      <w:r>
        <w:t>Слайд 7 -----------------------------------------------------------------------------------------------------------</w:t>
      </w:r>
    </w:p>
    <w:p w14:paraId="66D36C6E" w14:textId="3959F3C3" w:rsidR="003066AF" w:rsidRDefault="00885B18" w:rsidP="002902FC">
      <w:pPr>
        <w:spacing w:after="0" w:line="276" w:lineRule="auto"/>
        <w:ind w:left="-1276" w:right="-427"/>
        <w:jc w:val="both"/>
      </w:pPr>
      <w:r>
        <w:t xml:space="preserve">Під час моделювання </w:t>
      </w:r>
      <w:r w:rsidRPr="006436AE">
        <w:t xml:space="preserve">були розглянуті два варіанти розрахункової моделі </w:t>
      </w:r>
      <w:r>
        <w:t xml:space="preserve">кремнієвого сонячного елемента. </w:t>
      </w:r>
      <w:r w:rsidRPr="006436AE">
        <w:t xml:space="preserve">Фактично, друга модель є удосконаленим варіантом першої, </w:t>
      </w:r>
      <w:r>
        <w:t>вона має</w:t>
      </w:r>
      <w:r w:rsidRPr="006436AE">
        <w:t xml:space="preserve"> ширший діапазон зміни параметрів</w:t>
      </w:r>
      <w:r>
        <w:t xml:space="preserve"> та</w:t>
      </w:r>
      <w:r w:rsidRPr="006436AE">
        <w:t xml:space="preserve"> враховує більш точні температурні залежності параметрів кремнію, інформація про які з’явилася в літературі після розробки та використання першої моделі.</w:t>
      </w:r>
      <w:r>
        <w:t xml:space="preserve"> </w:t>
      </w:r>
      <w:r w:rsidR="000C004F">
        <w:rPr>
          <w:rFonts w:cs="Times New Roman"/>
        </w:rPr>
        <w:t xml:space="preserve">При моделюванні варіювалися такі параметри як: товщина бази, концентрація бору в базі, концентрація </w:t>
      </w:r>
      <w:proofErr w:type="spellStart"/>
      <w:r w:rsidR="000C004F">
        <w:rPr>
          <w:rFonts w:cs="Times New Roman"/>
        </w:rPr>
        <w:t>домішкового</w:t>
      </w:r>
      <w:proofErr w:type="spellEnd"/>
      <w:r w:rsidR="000C004F">
        <w:rPr>
          <w:rFonts w:cs="Times New Roman"/>
        </w:rPr>
        <w:t xml:space="preserve"> заліза, яка була рівномірно розподілена в базі та </w:t>
      </w:r>
      <w:r w:rsidR="000C004F">
        <w:rPr>
          <w:rFonts w:cs="Times New Roman"/>
          <w:lang w:val="en-US"/>
        </w:rPr>
        <w:t>BSF</w:t>
      </w:r>
      <w:r w:rsidR="000C004F" w:rsidRPr="00660CEB">
        <w:rPr>
          <w:rFonts w:cs="Times New Roman"/>
        </w:rPr>
        <w:t xml:space="preserve"> </w:t>
      </w:r>
      <w:r w:rsidR="000C004F">
        <w:rPr>
          <w:rFonts w:cs="Times New Roman"/>
        </w:rPr>
        <w:t>шарі, температура.</w:t>
      </w:r>
      <w:r w:rsidR="00214542">
        <w:rPr>
          <w:rFonts w:cs="Times New Roman"/>
        </w:rPr>
        <w:t xml:space="preserve"> А також варіювалися типи освітлення для другої моделі.</w:t>
      </w:r>
    </w:p>
    <w:p w14:paraId="381866C9" w14:textId="0253B008" w:rsidR="00BF3308" w:rsidRDefault="00BF3308" w:rsidP="00BF3308">
      <w:pPr>
        <w:spacing w:after="0" w:line="276" w:lineRule="auto"/>
        <w:ind w:left="-1276" w:right="-427"/>
        <w:jc w:val="both"/>
      </w:pPr>
      <w:r>
        <w:t>Слайд 8 -----------------------------------------------------------------------------------------------------------</w:t>
      </w:r>
    </w:p>
    <w:p w14:paraId="2EB29BBC" w14:textId="18BBDD13" w:rsidR="00BF3308" w:rsidRDefault="00746D68" w:rsidP="00746D68">
      <w:pPr>
        <w:spacing w:after="0" w:line="276" w:lineRule="auto"/>
        <w:ind w:left="-1276" w:right="-427"/>
        <w:jc w:val="both"/>
      </w:pPr>
      <w:r>
        <w:t>Для першої моделі</w:t>
      </w:r>
      <w:r w:rsidRPr="006436AE">
        <w:t xml:space="preserve"> були отримані </w:t>
      </w:r>
      <w:proofErr w:type="spellStart"/>
      <w:r w:rsidRPr="006436AE">
        <w:t>темнові</w:t>
      </w:r>
      <w:proofErr w:type="spellEnd"/>
      <w:r w:rsidRPr="006436AE">
        <w:t xml:space="preserve"> ВАХ</w:t>
      </w:r>
      <w:r>
        <w:t xml:space="preserve">, які ми далі апроксимували </w:t>
      </w:r>
      <w:r w:rsidRPr="006436AE">
        <w:t>з</w:t>
      </w:r>
      <w:r>
        <w:t xml:space="preserve">а допомогою </w:t>
      </w:r>
      <w:proofErr w:type="spellStart"/>
      <w:r>
        <w:t>дводіодної</w:t>
      </w:r>
      <w:proofErr w:type="spellEnd"/>
      <w:r>
        <w:t xml:space="preserve"> моделі, </w:t>
      </w:r>
      <w:r w:rsidRPr="006436AE">
        <w:rPr>
          <w:rFonts w:cs="Times New Roman"/>
        </w:rPr>
        <w:t>шуканими параметрами</w:t>
      </w:r>
      <w:r>
        <w:rPr>
          <w:rFonts w:cs="Times New Roman"/>
        </w:rPr>
        <w:t xml:space="preserve"> були</w:t>
      </w:r>
      <w:r w:rsidRPr="006436AE">
        <w:rPr>
          <w:rFonts w:cs="Times New Roman"/>
        </w:rPr>
        <w:t xml:space="preserve"> фактор </w:t>
      </w:r>
      <w:proofErr w:type="spellStart"/>
      <w:r w:rsidRPr="006436AE">
        <w:rPr>
          <w:rFonts w:cs="Times New Roman"/>
        </w:rPr>
        <w:t>неідеальності</w:t>
      </w:r>
      <w:proofErr w:type="spellEnd"/>
      <w:r w:rsidRPr="006436AE">
        <w:rPr>
          <w:rFonts w:cs="Times New Roman"/>
        </w:rPr>
        <w:t xml:space="preserve"> та струми насичення</w:t>
      </w:r>
      <w:r>
        <w:rPr>
          <w:rFonts w:eastAsia="Times New Roman"/>
          <w:color w:val="000000"/>
        </w:rPr>
        <w:t xml:space="preserve">. </w:t>
      </w:r>
      <w:r w:rsidRPr="006436AE">
        <w:t xml:space="preserve">Друга модель була використана для отримання ВАХ в умовах освітлення або сонячним </w:t>
      </w:r>
      <w:r w:rsidRPr="006436AE">
        <w:rPr>
          <w:rFonts w:eastAsia="Times New Roman"/>
          <w:color w:val="000000"/>
        </w:rPr>
        <w:t>або монохроматичним випромінюванням</w:t>
      </w:r>
      <w:r w:rsidRPr="006436AE">
        <w:t xml:space="preserve">. В цьому випадку визначалися струм короткого замикання </w:t>
      </w:r>
      <w:proofErr w:type="spellStart"/>
      <w:r w:rsidRPr="00CC5300">
        <w:rPr>
          <w:i/>
          <w:iCs/>
          <w:lang w:val="en-US"/>
        </w:rPr>
        <w:t>I</w:t>
      </w:r>
      <w:r>
        <w:rPr>
          <w:i/>
          <w:iCs/>
          <w:vertAlign w:val="subscript"/>
          <w:lang w:val="en-US"/>
        </w:rPr>
        <w:t>sc</w:t>
      </w:r>
      <w:proofErr w:type="spellEnd"/>
      <w:r w:rsidRPr="006436AE">
        <w:t>, напруг</w:t>
      </w:r>
      <w:r>
        <w:t>а</w:t>
      </w:r>
      <w:r w:rsidRPr="006436AE">
        <w:t xml:space="preserve"> </w:t>
      </w:r>
      <w:r>
        <w:t>розімкнутого кола</w:t>
      </w:r>
      <w:r w:rsidRPr="006436AE">
        <w:t xml:space="preserve"> </w:t>
      </w:r>
      <w:r>
        <w:rPr>
          <w:i/>
          <w:iCs/>
          <w:lang w:val="en-US"/>
        </w:rPr>
        <w:t>V</w:t>
      </w:r>
      <w:r>
        <w:rPr>
          <w:i/>
          <w:iCs/>
          <w:vertAlign w:val="subscript"/>
          <w:lang w:val="en-US"/>
        </w:rPr>
        <w:t>oc</w:t>
      </w:r>
      <w:r w:rsidRPr="006436AE">
        <w:t xml:space="preserve">, фактор </w:t>
      </w:r>
      <w:r>
        <w:t>форми</w:t>
      </w:r>
      <w:r w:rsidRPr="006436AE">
        <w:t xml:space="preserve"> </w:t>
      </w:r>
      <w:r w:rsidRPr="00CC5300">
        <w:rPr>
          <w:i/>
          <w:iCs/>
          <w:lang w:val="en-US"/>
        </w:rPr>
        <w:t>FF</w:t>
      </w:r>
      <w:r w:rsidRPr="006436AE">
        <w:t xml:space="preserve"> та </w:t>
      </w:r>
      <w:r>
        <w:rPr>
          <w:szCs w:val="28"/>
        </w:rPr>
        <w:t>ефективність фотоелектричного перетворення</w:t>
      </w:r>
      <w:r w:rsidRPr="006436AE">
        <w:rPr>
          <w:szCs w:val="28"/>
        </w:rPr>
        <w:t xml:space="preserve"> </w:t>
      </w:r>
      <w:bookmarkStart w:id="0" w:name="_Hlk218942592"/>
      <w:r w:rsidRPr="00CC5300">
        <w:rPr>
          <w:rFonts w:cs="Times New Roman"/>
          <w:i/>
          <w:iCs/>
        </w:rPr>
        <w:t>η</w:t>
      </w:r>
      <w:bookmarkEnd w:id="0"/>
      <w:r w:rsidRPr="006436AE">
        <w:t>.</w:t>
      </w:r>
    </w:p>
    <w:p w14:paraId="061586D7" w14:textId="4CB45D93" w:rsidR="00746D68" w:rsidRDefault="00746D68" w:rsidP="00746D68">
      <w:pPr>
        <w:spacing w:after="0" w:line="276" w:lineRule="auto"/>
        <w:ind w:left="-1276" w:right="-427"/>
        <w:jc w:val="both"/>
      </w:pPr>
      <w:r>
        <w:t>Слайд 9 -----------------------------------------------------------------------------------------------------------</w:t>
      </w:r>
    </w:p>
    <w:p w14:paraId="4296D4DB" w14:textId="2D10E96B" w:rsidR="00746D68" w:rsidRDefault="00DB5D53" w:rsidP="00746D68">
      <w:pPr>
        <w:spacing w:after="0" w:line="276" w:lineRule="auto"/>
        <w:ind w:left="-1276" w:right="-427"/>
        <w:jc w:val="both"/>
        <w:rPr>
          <w:rFonts w:cs="Times New Roman"/>
          <w:szCs w:val="28"/>
        </w:rPr>
      </w:pPr>
      <w:r w:rsidRPr="00A97A56">
        <w:rPr>
          <w:rFonts w:cs="Times New Roman"/>
          <w:szCs w:val="28"/>
        </w:rPr>
        <w:t xml:space="preserve">SCAPS в автоматичному режимі враховує температурні залежності </w:t>
      </w:r>
      <w:r>
        <w:rPr>
          <w:rFonts w:cs="Times New Roman"/>
          <w:szCs w:val="28"/>
        </w:rPr>
        <w:t xml:space="preserve">загального вигляду тільки </w:t>
      </w:r>
      <w:r w:rsidRPr="00A97A56">
        <w:rPr>
          <w:rFonts w:cs="Times New Roman"/>
          <w:szCs w:val="28"/>
        </w:rPr>
        <w:t>для досить обмеженого кола параметрів матеріалу</w:t>
      </w:r>
      <w:r>
        <w:rPr>
          <w:rFonts w:cs="Times New Roman"/>
          <w:szCs w:val="28"/>
        </w:rPr>
        <w:t>, т</w:t>
      </w:r>
      <w:r w:rsidRPr="00A97A56">
        <w:rPr>
          <w:rFonts w:cs="Times New Roman"/>
          <w:szCs w:val="28"/>
        </w:rPr>
        <w:t xml:space="preserve">ому враховувалися додатково </w:t>
      </w:r>
      <w:r>
        <w:rPr>
          <w:rFonts w:cs="Times New Roman"/>
          <w:szCs w:val="28"/>
        </w:rPr>
        <w:t>перелічені на слайді температурні та концентраційні залежності кремнію.</w:t>
      </w:r>
    </w:p>
    <w:p w14:paraId="1FA502D7" w14:textId="19EEBF25" w:rsidR="00DB5D53" w:rsidRDefault="00DB5D53" w:rsidP="00DB5D53">
      <w:pPr>
        <w:spacing w:after="0" w:line="276" w:lineRule="auto"/>
        <w:ind w:left="-1276" w:right="-427"/>
        <w:jc w:val="both"/>
      </w:pPr>
      <w:r>
        <w:t>Слайд 10 ----------------------------------------------------------------------------------------------------------</w:t>
      </w:r>
    </w:p>
    <w:p w14:paraId="7175DA32" w14:textId="1C9695B7" w:rsidR="00DB5D53" w:rsidRPr="000A73B9" w:rsidRDefault="001D74D8" w:rsidP="00746D68">
      <w:pPr>
        <w:spacing w:after="0" w:line="276" w:lineRule="auto"/>
        <w:ind w:left="-1276" w:right="-427"/>
        <w:jc w:val="both"/>
        <w:rPr>
          <w:rFonts w:eastAsiaTheme="minorEastAsia" w:cs="Times New Roman"/>
          <w:color w:val="000000"/>
        </w:rPr>
      </w:pPr>
      <w:r w:rsidRPr="006436AE">
        <w:rPr>
          <w:szCs w:val="28"/>
        </w:rPr>
        <w:t>Під час чисельного моделювання розглядалися два характерні стани заліза</w:t>
      </w:r>
      <w:r w:rsidRPr="001D74D8">
        <w:rPr>
          <w:szCs w:val="28"/>
        </w:rPr>
        <w:t xml:space="preserve">: </w:t>
      </w:r>
      <w:r w:rsidR="000A73B9">
        <w:rPr>
          <w:szCs w:val="28"/>
        </w:rPr>
        <w:t xml:space="preserve">коли всі атоми займають </w:t>
      </w:r>
      <w:proofErr w:type="spellStart"/>
      <w:r w:rsidR="000A73B9">
        <w:rPr>
          <w:szCs w:val="28"/>
        </w:rPr>
        <w:t>міжвузлове</w:t>
      </w:r>
      <w:proofErr w:type="spellEnd"/>
      <w:r w:rsidR="000A73B9">
        <w:rPr>
          <w:szCs w:val="28"/>
        </w:rPr>
        <w:t xml:space="preserve"> положення та коли більшість атомів заліза утворюють пари з бором.</w:t>
      </w:r>
      <w:r>
        <w:rPr>
          <w:rFonts w:cs="Times New Roman"/>
        </w:rPr>
        <w:t xml:space="preserve"> </w:t>
      </w:r>
      <w:r w:rsidR="000C004F" w:rsidRPr="006436AE">
        <w:rPr>
          <w:szCs w:val="28"/>
        </w:rPr>
        <w:t xml:space="preserve">При цьому просторовий розподіл кожного типу дефектів </w:t>
      </w:r>
      <w:r w:rsidR="000C004F" w:rsidRPr="006436AE">
        <w:rPr>
          <w:rFonts w:eastAsiaTheme="minorEastAsia" w:cs="Times New Roman"/>
        </w:rPr>
        <w:t xml:space="preserve">в </w:t>
      </w:r>
      <w:r w:rsidR="000C004F" w:rsidRPr="00190AB4">
        <w:rPr>
          <w:rFonts w:eastAsiaTheme="minorEastAsia" w:cs="Times New Roman"/>
          <w:i/>
          <w:iCs/>
        </w:rPr>
        <w:t>p</w:t>
      </w:r>
      <w:r w:rsidR="000C004F" w:rsidRPr="006436AE">
        <w:rPr>
          <w:rFonts w:eastAsiaTheme="minorEastAsia" w:cs="Times New Roman"/>
        </w:rPr>
        <w:t xml:space="preserve">- та </w:t>
      </w:r>
      <w:r w:rsidR="000C004F" w:rsidRPr="00190AB4">
        <w:rPr>
          <w:rFonts w:eastAsiaTheme="minorEastAsia" w:cs="Times New Roman"/>
          <w:i/>
          <w:iCs/>
        </w:rPr>
        <w:t>p</w:t>
      </w:r>
      <w:r w:rsidR="000C004F" w:rsidRPr="00190AB4">
        <w:rPr>
          <w:rFonts w:eastAsiaTheme="minorEastAsia" w:cs="Times New Roman"/>
          <w:i/>
          <w:iCs/>
          <w:vertAlign w:val="superscript"/>
        </w:rPr>
        <w:t>+</w:t>
      </w:r>
      <w:r w:rsidR="000C004F" w:rsidRPr="006436AE">
        <w:rPr>
          <w:rFonts w:eastAsiaTheme="minorEastAsia" w:cs="Times New Roman"/>
        </w:rPr>
        <w:t xml:space="preserve">-шарах є неоднорідним і визначається положенням рівня Фермі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eastAsiaTheme="minorEastAsia" w:cs="Times New Roman"/>
                <w:i/>
              </w:rPr>
              <m:t>E</m:t>
            </m:r>
          </m:e>
          <m:sub>
            <m:r>
              <m:rPr>
                <m:nor/>
              </m:rPr>
              <w:rPr>
                <w:rFonts w:eastAsiaTheme="minorEastAsia" w:cs="Times New Roman"/>
                <w:i/>
              </w:rPr>
              <m:t>F</m:t>
            </m:r>
          </m:sub>
        </m:sSub>
      </m:oMath>
      <w:r w:rsidR="000C004F" w:rsidRPr="006436AE">
        <w:rPr>
          <w:rFonts w:eastAsiaTheme="minorEastAsia" w:cs="Times New Roman"/>
        </w:rPr>
        <w:t xml:space="preserve"> та може бути розрахований з врахуванням наступного </w:t>
      </w:r>
      <w:r w:rsidR="000C004F">
        <w:rPr>
          <w:rFonts w:eastAsiaTheme="minorEastAsia" w:cs="Times New Roman"/>
        </w:rPr>
        <w:t xml:space="preserve">виразу на слайді. </w:t>
      </w:r>
      <w:r w:rsidR="000A73B9">
        <w:rPr>
          <w:rFonts w:eastAsiaTheme="minorEastAsia" w:cs="Times New Roman"/>
        </w:rPr>
        <w:t>Варто зазначити, що для другої розрахункової моделі оцінювалися саме відносні зміни фотоелектричних параметрів.</w:t>
      </w:r>
    </w:p>
    <w:p w14:paraId="46A40777" w14:textId="4B12827F" w:rsidR="000C004F" w:rsidRDefault="000C004F" w:rsidP="000C004F">
      <w:pPr>
        <w:spacing w:after="0" w:line="276" w:lineRule="auto"/>
        <w:ind w:left="-1276" w:right="-427"/>
        <w:jc w:val="both"/>
      </w:pPr>
      <w:r>
        <w:t>Слайд 11 ----------------------------------------------------------------------------------------------------------</w:t>
      </w:r>
    </w:p>
    <w:p w14:paraId="5971D8C1" w14:textId="3AAF707B" w:rsidR="000C004F" w:rsidRDefault="003F43FF" w:rsidP="00746D68">
      <w:pPr>
        <w:spacing w:after="0" w:line="276" w:lineRule="auto"/>
        <w:ind w:left="-1276" w:right="-427"/>
        <w:jc w:val="both"/>
      </w:pPr>
      <w:r w:rsidRPr="006436AE">
        <w:t>Для оцінки надійності результатів моделювання проводилися експериментальні дослідження</w:t>
      </w:r>
      <w:r>
        <w:t xml:space="preserve">. </w:t>
      </w:r>
      <w:r w:rsidR="008410F7" w:rsidRPr="006436AE">
        <w:t>В експерименті використовувалися зразки</w:t>
      </w:r>
      <w:r w:rsidR="008410F7">
        <w:t xml:space="preserve"> які</w:t>
      </w:r>
      <w:r w:rsidR="008410F7" w:rsidRPr="006436AE">
        <w:t xml:space="preserve"> бул</w:t>
      </w:r>
      <w:r w:rsidR="008410F7">
        <w:t>и</w:t>
      </w:r>
      <w:r w:rsidR="008410F7" w:rsidRPr="006436AE">
        <w:t xml:space="preserve"> виготовлен</w:t>
      </w:r>
      <w:r w:rsidR="008410F7">
        <w:t>і</w:t>
      </w:r>
      <w:r w:rsidR="008410F7" w:rsidRPr="006436AE">
        <w:t xml:space="preserve"> з кремнієвої пластини p-типу, легованої бором, товщиною 380 </w:t>
      </w:r>
      <w:r w:rsidR="008410F7">
        <w:t>мікрон.</w:t>
      </w:r>
      <w:r w:rsidR="008410F7" w:rsidRPr="006436AE">
        <w:t xml:space="preserve"> Емітер </w:t>
      </w:r>
      <w:r w:rsidR="008410F7">
        <w:t xml:space="preserve">тобто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cs="Times New Roman"/>
                <w:i/>
              </w:rPr>
              <m:t>n</m:t>
            </m:r>
          </m:e>
          <m:sup>
            <m:r>
              <m:rPr>
                <m:nor/>
              </m:rPr>
              <w:rPr>
                <w:rFonts w:cs="Times New Roman"/>
                <w:i/>
              </w:rPr>
              <m:t>+</m:t>
            </m:r>
          </m:sup>
        </m:sSup>
      </m:oMath>
      <w:r w:rsidR="008410F7">
        <w:rPr>
          <w:rFonts w:eastAsiaTheme="minorEastAsia"/>
        </w:rPr>
        <w:t>-шар</w:t>
      </w:r>
      <w:r w:rsidR="008410F7" w:rsidRPr="006436AE">
        <w:t xml:space="preserve"> </w:t>
      </w:r>
      <w:r w:rsidR="008410F7">
        <w:t>мав</w:t>
      </w:r>
      <w:r w:rsidR="008410F7" w:rsidRPr="006436AE">
        <w:t xml:space="preserve"> товщин</w:t>
      </w:r>
      <w:r w:rsidR="008410F7">
        <w:t>у</w:t>
      </w:r>
      <w:r w:rsidR="008410F7" w:rsidRPr="006436AE">
        <w:t xml:space="preserve"> 0,7 </w:t>
      </w:r>
      <w:r w:rsidR="008410F7">
        <w:t>мікрон та</w:t>
      </w:r>
      <w:r w:rsidR="008410F7" w:rsidRPr="006436AE">
        <w:t xml:space="preserve"> був сформований шляхом дифузії фосфору.</w:t>
      </w:r>
      <w:r w:rsidR="008410F7">
        <w:t xml:space="preserve"> </w:t>
      </w:r>
      <w:r w:rsidR="00140E9F" w:rsidRPr="006436AE">
        <w:t>На передній поверхні були сформовані плівки SiO</w:t>
      </w:r>
      <w:r w:rsidR="00140E9F" w:rsidRPr="00140E9F">
        <w:rPr>
          <w:vertAlign w:val="subscript"/>
        </w:rPr>
        <w:t>2</w:t>
      </w:r>
      <w:r w:rsidR="00140E9F" w:rsidRPr="006436AE">
        <w:t xml:space="preserve"> і Si</w:t>
      </w:r>
      <w:r w:rsidR="00140E9F" w:rsidRPr="00140E9F">
        <w:rPr>
          <w:vertAlign w:val="subscript"/>
        </w:rPr>
        <w:t>3</w:t>
      </w:r>
      <w:r w:rsidR="00140E9F" w:rsidRPr="006436AE">
        <w:t>N</w:t>
      </w:r>
      <w:r w:rsidR="00140E9F" w:rsidRPr="00140E9F">
        <w:rPr>
          <w:vertAlign w:val="subscript"/>
        </w:rPr>
        <w:t>4</w:t>
      </w:r>
      <w:r w:rsidR="00140E9F" w:rsidRPr="006436AE">
        <w:t xml:space="preserve"> як </w:t>
      </w:r>
      <w:proofErr w:type="spellStart"/>
      <w:r w:rsidR="00140E9F" w:rsidRPr="006436AE">
        <w:t>антивідбивні</w:t>
      </w:r>
      <w:proofErr w:type="spellEnd"/>
      <w:r w:rsidR="00140E9F" w:rsidRPr="006436AE">
        <w:t xml:space="preserve"> та пасивуючі шари</w:t>
      </w:r>
      <w:r w:rsidR="00140E9F">
        <w:t xml:space="preserve">. </w:t>
      </w:r>
      <w:r w:rsidR="00140E9F" w:rsidRPr="006436AE">
        <w:t xml:space="preserve">Суцільні контакти були створені методом магнетронного розпилення на задній і передній поверхнях, площа зразків становила </w:t>
      </w:r>
      <m:oMath>
        <m:r>
          <m:rPr>
            <m:nor/>
          </m:rPr>
          <w:rPr>
            <w:rFonts w:cs="Times New Roman"/>
          </w:rPr>
          <m:t>1×1</m:t>
        </m:r>
        <m:r>
          <w:rPr>
            <w:rFonts w:ascii="Cambria Math" w:hAnsi="Cambria Math" w:cs="Times New Roman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см</m:t>
            </m:r>
          </m:e>
          <m:sup>
            <m:r>
              <m:rPr>
                <m:nor/>
              </m:rPr>
              <w:rPr>
                <w:rFonts w:cs="Times New Roman"/>
              </w:rPr>
              <m:t>2</m:t>
            </m:r>
          </m:sup>
        </m:sSup>
      </m:oMath>
      <w:r w:rsidR="00140E9F" w:rsidRPr="006436AE">
        <w:rPr>
          <w:rFonts w:eastAsiaTheme="minorEastAsia"/>
        </w:rPr>
        <w:t>.</w:t>
      </w:r>
      <w:r w:rsidR="00140E9F" w:rsidRPr="006436AE">
        <w:t xml:space="preserve">  Значення</w:t>
      </w:r>
      <w:r w:rsidR="00140E9F">
        <w:t xml:space="preserve"> </w:t>
      </w:r>
      <w:proofErr w:type="spellStart"/>
      <w:r w:rsidR="00140E9F">
        <w:t>концентарції</w:t>
      </w:r>
      <w:proofErr w:type="spellEnd"/>
      <w:r w:rsidR="00140E9F">
        <w:t xml:space="preserve"> заліза </w:t>
      </w:r>
      <w:r w:rsidR="00140E9F" w:rsidRPr="006436AE">
        <w:t>були визначені за допомогою методології, що базувалася на вимірюванні кінетики струму короткого замикання після інтенсивного освітлення</w:t>
      </w:r>
      <w:r w:rsidR="00140E9F">
        <w:t xml:space="preserve"> </w:t>
      </w:r>
      <w:proofErr w:type="spellStart"/>
      <w:r w:rsidR="00140E9F">
        <w:t>галогеновою</w:t>
      </w:r>
      <w:proofErr w:type="spellEnd"/>
      <w:r w:rsidR="00140E9F">
        <w:t xml:space="preserve"> лампою.</w:t>
      </w:r>
    </w:p>
    <w:p w14:paraId="148479C5" w14:textId="77777777" w:rsidR="00492FE1" w:rsidRDefault="00492FE1" w:rsidP="00140E9F">
      <w:pPr>
        <w:spacing w:after="0" w:line="276" w:lineRule="auto"/>
        <w:ind w:left="-1276" w:right="-427"/>
        <w:jc w:val="both"/>
      </w:pPr>
    </w:p>
    <w:p w14:paraId="70AB9137" w14:textId="77777777" w:rsidR="00492FE1" w:rsidRDefault="00492FE1" w:rsidP="00140E9F">
      <w:pPr>
        <w:spacing w:after="0" w:line="276" w:lineRule="auto"/>
        <w:ind w:left="-1276" w:right="-427"/>
        <w:jc w:val="both"/>
      </w:pPr>
    </w:p>
    <w:p w14:paraId="6B8C248F" w14:textId="39403E87" w:rsidR="00140E9F" w:rsidRDefault="00140E9F" w:rsidP="00140E9F">
      <w:pPr>
        <w:spacing w:after="0" w:line="276" w:lineRule="auto"/>
        <w:ind w:left="-1276" w:right="-427"/>
        <w:jc w:val="both"/>
      </w:pPr>
      <w:r>
        <w:lastRenderedPageBreak/>
        <w:t>Слайд 12 ----------------------------------------------------------------------------------------------------------</w:t>
      </w:r>
    </w:p>
    <w:p w14:paraId="20DFAB5E" w14:textId="0297FE65" w:rsidR="00492FE1" w:rsidRDefault="00492FE1" w:rsidP="00492FE1">
      <w:pPr>
        <w:spacing w:after="0" w:line="276" w:lineRule="auto"/>
        <w:ind w:left="-1276" w:right="-427"/>
        <w:jc w:val="both"/>
        <w:rPr>
          <w:rFonts w:eastAsiaTheme="minorEastAsia"/>
        </w:rPr>
      </w:pPr>
      <w:r w:rsidRPr="00492FE1">
        <w:rPr>
          <w:rFonts w:cs="Times New Roman"/>
        </w:rPr>
        <w:t xml:space="preserve">Одним із ключових </w:t>
      </w:r>
      <w:r>
        <w:rPr>
          <w:rFonts w:cs="Times New Roman"/>
        </w:rPr>
        <w:t xml:space="preserve">діагностичних </w:t>
      </w:r>
      <w:r w:rsidRPr="00492FE1">
        <w:rPr>
          <w:rFonts w:cs="Times New Roman"/>
        </w:rPr>
        <w:t>параметрів</w:t>
      </w:r>
      <w:r>
        <w:rPr>
          <w:rFonts w:cs="Times New Roman"/>
        </w:rPr>
        <w:t xml:space="preserve"> </w:t>
      </w:r>
      <w:r w:rsidRPr="006436AE">
        <w:t>у фізиці напівпровідникових пристроїв</w:t>
      </w:r>
      <w:r>
        <w:rPr>
          <w:rFonts w:cs="Times New Roman"/>
        </w:rPr>
        <w:t xml:space="preserve"> є фактор </w:t>
      </w:r>
      <w:proofErr w:type="spellStart"/>
      <w:r>
        <w:rPr>
          <w:rFonts w:cs="Times New Roman"/>
        </w:rPr>
        <w:t>неідеальності</w:t>
      </w:r>
      <w:proofErr w:type="spellEnd"/>
      <w:r>
        <w:rPr>
          <w:rFonts w:cs="Times New Roman"/>
        </w:rPr>
        <w:t xml:space="preserve"> </w:t>
      </w:r>
      <w:r w:rsidRPr="006436AE">
        <w:t>через його взаємозв’язок з домінуючими механізмами рекомбінації та динамікою дефектів</w:t>
      </w:r>
      <w:r>
        <w:t>.</w:t>
      </w:r>
      <w:r>
        <w:rPr>
          <w:rFonts w:cs="Times New Roman"/>
        </w:rPr>
        <w:t xml:space="preserve"> </w:t>
      </w:r>
      <w:r w:rsidR="0064116B" w:rsidRPr="006436AE">
        <w:t xml:space="preserve">З урахуванням двох конфігурацій дефектів було </w:t>
      </w:r>
      <w:proofErr w:type="spellStart"/>
      <w:r w:rsidR="0064116B" w:rsidRPr="006436AE">
        <w:t>змодельовано</w:t>
      </w:r>
      <w:proofErr w:type="spellEnd"/>
      <w:r w:rsidR="0064116B" w:rsidRPr="006436AE">
        <w:t xml:space="preserve"> </w:t>
      </w:r>
      <w:r w:rsidR="009734B9">
        <w:t>більше 15 тисяч</w:t>
      </w:r>
      <w:r w:rsidR="0064116B" w:rsidRPr="006436AE">
        <w:t xml:space="preserve"> структур</w:t>
      </w:r>
      <w:r w:rsidR="009734B9">
        <w:t xml:space="preserve"> для першої розрахункової моделі. Загалом була розглянута залежність семи факторів </w:t>
      </w:r>
      <w:proofErr w:type="spellStart"/>
      <w:r w:rsidR="009734B9">
        <w:t>неідеальності</w:t>
      </w:r>
      <w:proofErr w:type="spellEnd"/>
      <w:r w:rsidR="009734B9">
        <w:t xml:space="preserve"> </w:t>
      </w:r>
      <w:r w:rsidR="009734B9" w:rsidRPr="006436AE">
        <w:rPr>
          <w:rFonts w:eastAsiaTheme="minorEastAsia"/>
        </w:rPr>
        <w:t>від умов навколишнього середовища та параметрів центрів рекомбінації в структурі</w:t>
      </w:r>
      <w:r w:rsidR="009734B9">
        <w:rPr>
          <w:rFonts w:eastAsiaTheme="minorEastAsia"/>
        </w:rPr>
        <w:t xml:space="preserve">. </w:t>
      </w:r>
    </w:p>
    <w:p w14:paraId="7C1FE501" w14:textId="3075A99C" w:rsidR="00E14D96" w:rsidRPr="0059668F" w:rsidRDefault="009734B9" w:rsidP="0059668F">
      <w:pPr>
        <w:spacing w:after="0" w:line="276" w:lineRule="auto"/>
        <w:ind w:left="-1276" w:right="-427"/>
        <w:jc w:val="both"/>
      </w:pPr>
      <w:r>
        <w:t>Слайд 13 ----------------------------------------------------------------------------------------------------------</w:t>
      </w:r>
      <w:r w:rsidR="0059668F" w:rsidRPr="00BB5C25">
        <w:t>Було п</w:t>
      </w:r>
      <w:r w:rsidR="00E14D96" w:rsidRPr="00BB5C25">
        <w:t xml:space="preserve">оказано, що фактор </w:t>
      </w:r>
      <w:proofErr w:type="spellStart"/>
      <w:r w:rsidR="00E14D96" w:rsidRPr="00BB5C25">
        <w:t>неідеальності</w:t>
      </w:r>
      <w:proofErr w:type="spellEnd"/>
      <w:r w:rsidR="00E14D96" w:rsidRPr="00BB5C25">
        <w:t xml:space="preserve"> визначається не лише концентрацією домішки, а й її електричним станом та просторовим розподілом. </w:t>
      </w:r>
      <w:r w:rsidR="0059668F" w:rsidRPr="00BB5C25">
        <w:t>О</w:t>
      </w:r>
      <w:r w:rsidR="00E14D96" w:rsidRPr="00BB5C25">
        <w:t xml:space="preserve">сновний внесок у рекомбінаційні процеси в </w:t>
      </w:r>
      <w:r w:rsidR="0059668F" w:rsidRPr="00BB5C25">
        <w:t>області просторового заряду</w:t>
      </w:r>
      <w:r w:rsidR="00E14D96" w:rsidRPr="00BB5C25">
        <w:t xml:space="preserve"> внос</w:t>
      </w:r>
      <w:r w:rsidR="0059668F" w:rsidRPr="00BB5C25">
        <w:t>ять</w:t>
      </w:r>
      <w:r w:rsidR="00E14D96" w:rsidRPr="00BB5C25">
        <w:t xml:space="preserve"> іонізовані </w:t>
      </w:r>
      <w:proofErr w:type="spellStart"/>
      <w:r w:rsidR="00E14D96" w:rsidRPr="00BB5C25">
        <w:t>міжвузлові</w:t>
      </w:r>
      <w:proofErr w:type="spellEnd"/>
      <w:r w:rsidR="00E14D96" w:rsidRPr="00BB5C25">
        <w:t xml:space="preserve"> атоми заліза, а залежності </w:t>
      </w:r>
      <w:proofErr w:type="spellStart"/>
      <w:r w:rsidR="00E14D96" w:rsidRPr="00BB5C25">
        <w:t>фактора</w:t>
      </w:r>
      <w:proofErr w:type="spellEnd"/>
      <w:r w:rsidR="00E14D96" w:rsidRPr="00BB5C25">
        <w:t xml:space="preserve"> </w:t>
      </w:r>
      <w:proofErr w:type="spellStart"/>
      <w:r w:rsidR="00E14D96" w:rsidRPr="00BB5C25">
        <w:t>неідеальності</w:t>
      </w:r>
      <w:proofErr w:type="spellEnd"/>
      <w:r w:rsidR="00E14D96" w:rsidRPr="00BB5C25">
        <w:t xml:space="preserve"> від температури та рівня легування зумовлені ймовірністю заповнення рівня </w:t>
      </w:r>
      <m:oMath>
        <m:r>
          <m:rPr>
            <m:nor/>
          </m:rPr>
          <w:rPr>
            <w:rFonts w:cs="Times New Roman"/>
            <w:iCs/>
          </w:rPr>
          <m:t>F</m:t>
        </m:r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i</m:t>
            </m:r>
          </m:sub>
        </m:sSub>
      </m:oMath>
      <w:r w:rsidR="00E14D96" w:rsidRPr="00BB5C25">
        <w:t xml:space="preserve"> дірками. Виявлено, що зі зростанням концентрації заліза спостерігається майже лінійне зростання </w:t>
      </w:r>
      <w:proofErr w:type="spellStart"/>
      <w:r w:rsidR="00E14D96" w:rsidRPr="00BB5C25">
        <w:t>фактора</w:t>
      </w:r>
      <w:proofErr w:type="spellEnd"/>
      <w:r w:rsidR="00E14D96" w:rsidRPr="00BB5C25">
        <w:t xml:space="preserve"> </w:t>
      </w:r>
      <w:proofErr w:type="spellStart"/>
      <w:r w:rsidR="00E14D96" w:rsidRPr="00BB5C25">
        <w:t>неідеальності</w:t>
      </w:r>
      <w:proofErr w:type="spellEnd"/>
      <w:r w:rsidR="00E14D96" w:rsidRPr="00BB5C25">
        <w:t xml:space="preserve">, окрім випадків, коли рівень </w:t>
      </w:r>
      <m:oMath>
        <m:r>
          <m:rPr>
            <m:nor/>
          </m:rPr>
          <w:rPr>
            <w:rFonts w:cs="Times New Roman"/>
            <w:iCs/>
          </w:rPr>
          <m:t>F</m:t>
        </m:r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i</m:t>
            </m:r>
          </m:sub>
        </m:sSub>
      </m:oMath>
      <w:r w:rsidR="00E14D96" w:rsidRPr="00BB5C25">
        <w:t xml:space="preserve"> заповнений електронами. В останньому випадку домінує власна рекомбінація, а фактор </w:t>
      </w:r>
      <w:proofErr w:type="spellStart"/>
      <w:r w:rsidR="00E14D96" w:rsidRPr="00BB5C25">
        <w:t>неідеальності</w:t>
      </w:r>
      <w:proofErr w:type="spellEnd"/>
      <w:r w:rsidR="00E14D96" w:rsidRPr="00BB5C25">
        <w:t xml:space="preserve"> різко зменшується.</w:t>
      </w:r>
      <w:r w:rsidR="00E14D96" w:rsidRPr="00E14D96">
        <w:rPr>
          <w:color w:val="0070C0"/>
        </w:rPr>
        <w:t xml:space="preserve"> </w:t>
      </w:r>
    </w:p>
    <w:p w14:paraId="3B17108C" w14:textId="22CA47CB" w:rsidR="00E14D96" w:rsidRPr="00E14D96" w:rsidRDefault="00BB5C25" w:rsidP="00E14D96">
      <w:pPr>
        <w:spacing w:after="0" w:line="276" w:lineRule="auto"/>
        <w:ind w:left="-1276" w:right="-427"/>
        <w:jc w:val="both"/>
        <w:rPr>
          <w:color w:val="0070C0"/>
        </w:rPr>
      </w:pPr>
      <w:r>
        <w:t>Слайд 1</w:t>
      </w:r>
      <w:r w:rsidRPr="00BB5C25">
        <w:rPr>
          <w:lang w:val="ru-RU"/>
        </w:rPr>
        <w:t>4</w:t>
      </w:r>
      <w:r>
        <w:t xml:space="preserve"> ----------------------------------------------------------------------------------------------------------</w:t>
      </w:r>
    </w:p>
    <w:p w14:paraId="70C8AF45" w14:textId="12EFB8BF" w:rsidR="00E14D96" w:rsidRDefault="00E14D96" w:rsidP="00BB5C25">
      <w:pPr>
        <w:spacing w:after="0" w:line="276" w:lineRule="auto"/>
        <w:ind w:left="-1276" w:right="-427"/>
        <w:jc w:val="both"/>
      </w:pPr>
      <w:r w:rsidRPr="00620B6D">
        <w:t>Виявлен</w:t>
      </w:r>
      <w:r w:rsidR="00BB5C25" w:rsidRPr="00620B6D">
        <w:t>а також</w:t>
      </w:r>
      <w:r w:rsidRPr="00620B6D">
        <w:t xml:space="preserve"> залежність </w:t>
      </w:r>
      <w:proofErr w:type="spellStart"/>
      <w:r w:rsidRPr="00620B6D">
        <w:t>фактора</w:t>
      </w:r>
      <w:proofErr w:type="spellEnd"/>
      <w:r w:rsidRPr="00620B6D">
        <w:t xml:space="preserve"> </w:t>
      </w:r>
      <w:proofErr w:type="spellStart"/>
      <w:r w:rsidRPr="00620B6D">
        <w:t>неідеальності</w:t>
      </w:r>
      <w:proofErr w:type="spellEnd"/>
      <w:r w:rsidRPr="00620B6D">
        <w:t xml:space="preserve"> від товщини бази </w:t>
      </w:r>
      <w:r w:rsidR="00BB5C25" w:rsidRPr="00620B6D">
        <w:t>сонячного елемента</w:t>
      </w:r>
      <w:r w:rsidRPr="00620B6D">
        <w:rPr>
          <w:rFonts w:eastAsiaTheme="minorEastAsia"/>
        </w:rPr>
        <w:t xml:space="preserve">. Зокрема, фактор </w:t>
      </w:r>
      <w:proofErr w:type="spellStart"/>
      <w:r w:rsidRPr="00620B6D">
        <w:rPr>
          <w:rFonts w:eastAsiaTheme="minorEastAsia"/>
        </w:rPr>
        <w:t>неідеальності</w:t>
      </w:r>
      <w:proofErr w:type="spellEnd"/>
      <w:r w:rsidRPr="00620B6D">
        <w:rPr>
          <w:rFonts w:eastAsiaTheme="minorEastAsia"/>
        </w:rPr>
        <w:t xml:space="preserve"> зменшується коли </w:t>
      </w:r>
      <w:r w:rsidR="00BB5C25" w:rsidRPr="00620B6D">
        <w:rPr>
          <w:rFonts w:eastAsiaTheme="minorEastAsia"/>
        </w:rPr>
        <w:t>товщина бази</w:t>
      </w:r>
      <w:r w:rsidRPr="00620B6D">
        <w:rPr>
          <w:rFonts w:eastAsiaTheme="minorEastAsia"/>
        </w:rPr>
        <w:t xml:space="preserve"> стає більшою за довжину дифузії неосновних носіїв заряду, </w:t>
      </w:r>
      <w:r w:rsidRPr="00620B6D">
        <w:t xml:space="preserve">тобто на значення </w:t>
      </w:r>
      <w:r w:rsidR="00BB5C25" w:rsidRPr="00620B6D">
        <w:t xml:space="preserve">фактору </w:t>
      </w:r>
      <w:proofErr w:type="spellStart"/>
      <w:r w:rsidR="00BB5C25" w:rsidRPr="00620B6D">
        <w:t>неідеальності</w:t>
      </w:r>
      <w:proofErr w:type="spellEnd"/>
      <w:r w:rsidR="00BB5C25" w:rsidRPr="00620B6D">
        <w:t xml:space="preserve"> </w:t>
      </w:r>
      <w:r w:rsidRPr="00620B6D">
        <w:t xml:space="preserve">впливають процеси, що відбуваються і в квазінейтральній області. У випадку співіснування пар </w:t>
      </w:r>
      <m:oMath>
        <m:r>
          <m:rPr>
            <m:nor/>
          </m:rPr>
          <w:rPr>
            <w:rFonts w:cs="Times New Roman"/>
            <w:iCs/>
          </w:rPr>
          <m:t>F</m:t>
        </m:r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B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s</m:t>
            </m:r>
          </m:sub>
        </m:sSub>
      </m:oMath>
      <w:r w:rsidRPr="00620B6D">
        <w:t xml:space="preserve"> та неспарених атомів </w:t>
      </w:r>
      <m:oMath>
        <m:r>
          <m:rPr>
            <m:nor/>
          </m:rPr>
          <w:rPr>
            <w:rFonts w:cs="Times New Roman"/>
            <w:iCs/>
          </w:rPr>
          <m:t>заліза</m:t>
        </m:r>
      </m:oMath>
      <w:r w:rsidRPr="00620B6D">
        <w:rPr>
          <w:rFonts w:eastAsiaTheme="minorEastAsia"/>
        </w:rPr>
        <w:t>,</w:t>
      </w:r>
      <w:r w:rsidRPr="00620B6D">
        <w:t xml:space="preserve"> фактор </w:t>
      </w:r>
      <w:proofErr w:type="spellStart"/>
      <w:r w:rsidRPr="00620B6D">
        <w:t>неідеальності</w:t>
      </w:r>
      <w:proofErr w:type="spellEnd"/>
      <w:r w:rsidRPr="00620B6D">
        <w:t xml:space="preserve"> може бути вищим, ніж у випадку, коли наявні окремі </w:t>
      </w:r>
      <m:oMath>
        <m:r>
          <m:rPr>
            <m:nor/>
          </m:rPr>
          <w:rPr>
            <w:rFonts w:ascii="Cambria Math" w:cs="Times New Roman"/>
            <w:iCs/>
          </w:rPr>
          <m:t>атоми</m:t>
        </m:r>
        <m:r>
          <m:rPr>
            <m:nor/>
          </m:rPr>
          <w:rPr>
            <w:rFonts w:ascii="Cambria Math" w:cs="Times New Roman"/>
            <w:iCs/>
          </w:rPr>
          <m:t xml:space="preserve"> </m:t>
        </m:r>
        <m:r>
          <m:rPr>
            <m:nor/>
          </m:rPr>
          <w:rPr>
            <w:rFonts w:ascii="Cambria Math" w:cs="Times New Roman"/>
            <w:iCs/>
          </w:rPr>
          <m:t>заліза</m:t>
        </m:r>
      </m:oMath>
      <w:r w:rsidRPr="00620B6D">
        <w:t xml:space="preserve">. </w:t>
      </w:r>
      <w:r w:rsidR="00620B6D" w:rsidRPr="00620B6D">
        <w:t>Отже, з</w:t>
      </w:r>
      <w:r w:rsidRPr="00620B6D">
        <w:t xml:space="preserve">міна </w:t>
      </w:r>
      <w:proofErr w:type="spellStart"/>
      <w:r w:rsidRPr="00620B6D">
        <w:t>фактора</w:t>
      </w:r>
      <w:proofErr w:type="spellEnd"/>
      <w:r w:rsidRPr="00620B6D">
        <w:t xml:space="preserve"> </w:t>
      </w:r>
      <w:proofErr w:type="spellStart"/>
      <w:r w:rsidRPr="00620B6D">
        <w:t>неідеальності</w:t>
      </w:r>
      <w:proofErr w:type="spellEnd"/>
      <w:r w:rsidRPr="00620B6D">
        <w:t xml:space="preserve"> після дисоціації пар </w:t>
      </w:r>
      <m:oMath>
        <m:r>
          <m:rPr>
            <m:nor/>
          </m:rPr>
          <w:rPr>
            <w:rFonts w:cs="Times New Roman"/>
            <w:iCs/>
          </w:rPr>
          <m:t>F</m:t>
        </m:r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B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s</m:t>
            </m:r>
          </m:sub>
        </m:sSub>
      </m:oMath>
      <w:r w:rsidRPr="00620B6D">
        <w:t xml:space="preserve"> може бути використана для оцінки концентрації заліза в КСЕ.</w:t>
      </w:r>
    </w:p>
    <w:p w14:paraId="508F1866" w14:textId="22E861F5" w:rsidR="008B42D5" w:rsidRPr="008B42D5" w:rsidRDefault="00620B6D" w:rsidP="008B42D5">
      <w:pPr>
        <w:spacing w:after="0" w:line="276" w:lineRule="auto"/>
        <w:ind w:left="-1276" w:right="-427"/>
        <w:jc w:val="both"/>
        <w:rPr>
          <w:color w:val="4472C4" w:themeColor="accent1"/>
          <w:lang w:val="en-US"/>
        </w:rPr>
      </w:pPr>
      <w:r>
        <w:t>Слайд 1</w:t>
      </w:r>
      <w:r w:rsidRPr="008B42D5">
        <w:t>5</w:t>
      </w:r>
      <w:r>
        <w:t xml:space="preserve"> ----------------------------------------------------------------------------------------------------------</w:t>
      </w:r>
      <w:r w:rsidR="00CE2D09">
        <w:t xml:space="preserve">З </w:t>
      </w:r>
      <w:proofErr w:type="spellStart"/>
      <w:r w:rsidR="00CE2D09">
        <w:t>іношого</w:t>
      </w:r>
      <w:proofErr w:type="spellEnd"/>
      <w:r w:rsidR="00CE2D09">
        <w:t xml:space="preserve"> боку, </w:t>
      </w:r>
      <w:r w:rsidR="00CE2D09" w:rsidRPr="00CE2D09">
        <w:t>м</w:t>
      </w:r>
      <w:r w:rsidR="008B42D5" w:rsidRPr="00CE2D09">
        <w:t xml:space="preserve">оделювання та експериментальні дослідження показали, що зміни стану залізовмісних дефектів у </w:t>
      </w:r>
      <w:r w:rsidR="008B42D5" w:rsidRPr="00CE2D09">
        <w:t>кремнієвих сонячних елементах</w:t>
      </w:r>
      <w:r w:rsidR="008B42D5" w:rsidRPr="00CE2D09">
        <w:t xml:space="preserve"> можуть суттєво впливати на основні фотоелектричні параметри. Найбільш чутливим до змін концентрації заліза є</w:t>
      </w:r>
      <w:r w:rsidR="008B42D5" w:rsidRPr="00CE2D09">
        <w:t xml:space="preserve"> струм короткого замикання</w:t>
      </w:r>
      <w:r w:rsidR="008B42D5" w:rsidRPr="00CE2D09">
        <w:t>, особливо при використанні монохроматичного освітлення. Встановлено, що відносна зміна струму короткого замикання монотонно зростає з підвищенням концентрації заліза, а її знак та величина залежать від рівня легування бором.</w:t>
      </w:r>
      <w:r w:rsidR="008B42D5" w:rsidRPr="008B42D5">
        <w:rPr>
          <w:color w:val="4472C4" w:themeColor="accent1"/>
        </w:rPr>
        <w:t xml:space="preserve"> </w:t>
      </w:r>
    </w:p>
    <w:p w14:paraId="38420347" w14:textId="40DD697C" w:rsidR="008B42D5" w:rsidRPr="00CE2D09" w:rsidRDefault="00CE2D09" w:rsidP="008B42D5">
      <w:pPr>
        <w:spacing w:after="0" w:line="276" w:lineRule="auto"/>
        <w:ind w:left="-1276" w:right="-427"/>
        <w:jc w:val="both"/>
        <w:rPr>
          <w:color w:val="4472C4" w:themeColor="accent1"/>
        </w:rPr>
      </w:pPr>
      <w:r>
        <w:t>Слайд 1</w:t>
      </w:r>
      <w:r>
        <w:t>6</w:t>
      </w:r>
      <w:r>
        <w:t xml:space="preserve"> ----------------------------------------------------------------------------------------------------------</w:t>
      </w:r>
    </w:p>
    <w:p w14:paraId="1940CA14" w14:textId="10955CAC" w:rsidR="008B42D5" w:rsidRDefault="008B42D5" w:rsidP="008B42D5">
      <w:pPr>
        <w:spacing w:after="0" w:line="276" w:lineRule="auto"/>
        <w:ind w:left="-1276" w:right="-427"/>
        <w:jc w:val="both"/>
      </w:pPr>
      <w:r w:rsidRPr="00B42032">
        <w:t xml:space="preserve">Встановлено, що </w:t>
      </w:r>
      <w:r w:rsidR="005C6FA5" w:rsidRPr="00B42032">
        <w:t xml:space="preserve">відносні зміни ефективності </w:t>
      </w:r>
      <w:r w:rsidRPr="00B42032">
        <w:t xml:space="preserve">та </w:t>
      </w:r>
      <w:r w:rsidR="005C6FA5" w:rsidRPr="00B42032">
        <w:t>напруги розімкнутого кола</w:t>
      </w:r>
      <w:r w:rsidRPr="00B42032">
        <w:t xml:space="preserve"> можуть використовуватися як додаткові діагностичні параметри для оцінки забруднення залізом, але їхня інформативність обмежується при низьких рівнях легування бором </w:t>
      </w:r>
      <w:bookmarkStart w:id="1" w:name="_Hlk202239736"/>
      <m:oMath>
        <m:r>
          <m:rPr>
            <m:nor/>
          </m:rPr>
          <w:rPr>
            <w:rFonts w:cs="Times New Roman"/>
          </w:rPr>
          <m:t>(&lt;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Cambria Math" w:cs="Times New Roman"/>
              </w:rPr>
              <m:t xml:space="preserve"> </m:t>
            </m:r>
            <m:r>
              <m:rPr>
                <m:nor/>
              </m:rPr>
              <w:rPr>
                <w:rFonts w:cs="Times New Roman"/>
              </w:rPr>
              <m:t xml:space="preserve">10 </m:t>
            </m:r>
          </m:e>
          <m:sup>
            <m:r>
              <m:rPr>
                <m:nor/>
              </m:rPr>
              <w:rPr>
                <w:rFonts w:cs="Times New Roman"/>
              </w:rPr>
              <m:t>16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см</m:t>
            </m:r>
          </m:e>
          <m:sup>
            <m:r>
              <m:rPr>
                <m:nor/>
              </m:rPr>
              <w:rPr>
                <w:rFonts w:cs="Times New Roman"/>
              </w:rPr>
              <m:t>-3</m:t>
            </m:r>
          </m:sup>
        </m:sSup>
        <m:r>
          <m:rPr>
            <m:nor/>
          </m:rPr>
          <w:rPr>
            <w:rFonts w:cs="Times New Roman"/>
          </w:rPr>
          <m:t>)</m:t>
        </m:r>
      </m:oMath>
      <w:bookmarkEnd w:id="1"/>
      <w:r w:rsidRPr="00B42032">
        <w:t xml:space="preserve"> через немонотонний характер змін при збільшенні</w:t>
      </w:r>
      <w:r w:rsidR="005C6FA5" w:rsidRPr="00B42032">
        <w:t xml:space="preserve"> концентрації заліза</w:t>
      </w:r>
      <w:r w:rsidRPr="00B42032">
        <w:t xml:space="preserve">. Результати свідчать про те, що потенційна точність оцінки концентрації заліза залежить від рівня легування бази: при концентрації бору </w:t>
      </w:r>
      <w:bookmarkStart w:id="2" w:name="_Hlk202239776"/>
      <w:r w:rsidR="005C6FA5" w:rsidRPr="00B42032">
        <w:rPr>
          <w:rFonts w:eastAsiaTheme="minorEastAsia"/>
        </w:rPr>
        <w:t>близько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Cambria Math" w:cs="Times New Roman"/>
              </w:rPr>
              <m:t xml:space="preserve"> </m:t>
            </m:r>
            <m:r>
              <m:rPr>
                <m:nor/>
              </m:rPr>
              <w:rPr>
                <w:rFonts w:cs="Times New Roman"/>
              </w:rPr>
              <m:t xml:space="preserve">10 </m:t>
            </m:r>
          </m:e>
          <m:sup>
            <m:r>
              <m:rPr>
                <m:nor/>
              </m:rPr>
              <w:rPr>
                <w:rFonts w:cs="Times New Roman"/>
              </w:rPr>
              <m:t>16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см</m:t>
            </m:r>
          </m:e>
          <m:sup>
            <m:r>
              <m:rPr>
                <m:nor/>
              </m:rPr>
              <w:rPr>
                <w:rFonts w:cs="Times New Roman"/>
              </w:rPr>
              <m:t>-3</m:t>
            </m:r>
          </m:sup>
        </m:sSup>
      </m:oMath>
      <w:bookmarkEnd w:id="2"/>
      <w:r w:rsidRPr="00B42032">
        <w:t xml:space="preserve"> точність оцінки є мінімальною, тоді як зменшення або збільшення</w:t>
      </w:r>
      <w:r w:rsidR="005C6FA5" w:rsidRPr="00B42032">
        <w:t xml:space="preserve"> концентрації бору</w:t>
      </w:r>
      <m:oMath>
        <m:r>
          <w:rPr>
            <w:rFonts w:ascii="Cambria Math" w:hAnsi="Cambria Math"/>
          </w:rPr>
          <m:t xml:space="preserve"> </m:t>
        </m:r>
      </m:oMath>
      <w:r w:rsidRPr="00B42032">
        <w:t xml:space="preserve">збільшує вплив </w:t>
      </w:r>
      <w:r w:rsidR="005C6FA5" w:rsidRPr="00B42032">
        <w:t>концентрації заліза</w:t>
      </w:r>
      <w:r w:rsidRPr="00B42032">
        <w:rPr>
          <w:rFonts w:eastAsiaTheme="minorEastAsia"/>
        </w:rPr>
        <w:t xml:space="preserve"> на</w:t>
      </w:r>
      <w:r w:rsidR="005C6FA5" w:rsidRPr="00B42032">
        <w:rPr>
          <w:rFonts w:eastAsiaTheme="minorEastAsia"/>
        </w:rPr>
        <w:t xml:space="preserve"> відносні зміни струму короткого замикання</w:t>
      </w:r>
      <w:r w:rsidRPr="00B42032">
        <w:t xml:space="preserve">. Вплив товщини бази на фотоелектричні параметри є незначним у порівнянні з впливом ступеня легування та температури. </w:t>
      </w:r>
    </w:p>
    <w:p w14:paraId="26A3C1A6" w14:textId="77777777" w:rsidR="00B42032" w:rsidRDefault="00B42032" w:rsidP="008B42D5">
      <w:pPr>
        <w:spacing w:after="0" w:line="276" w:lineRule="auto"/>
        <w:ind w:left="-1276" w:right="-427"/>
        <w:jc w:val="both"/>
      </w:pPr>
    </w:p>
    <w:p w14:paraId="321E4322" w14:textId="47AABAE3" w:rsidR="00B42032" w:rsidRPr="00CE2D09" w:rsidRDefault="00B42032" w:rsidP="00B42032">
      <w:pPr>
        <w:spacing w:after="0" w:line="276" w:lineRule="auto"/>
        <w:ind w:left="-1276" w:right="-427"/>
        <w:jc w:val="both"/>
        <w:rPr>
          <w:color w:val="4472C4" w:themeColor="accent1"/>
        </w:rPr>
      </w:pPr>
      <w:r>
        <w:lastRenderedPageBreak/>
        <w:t>Слайд 1</w:t>
      </w:r>
      <w:r>
        <w:t>7</w:t>
      </w:r>
      <w:r>
        <w:t xml:space="preserve"> ----------------------------------------------------------------------------------------------------------</w:t>
      </w:r>
    </w:p>
    <w:p w14:paraId="4930DD9E" w14:textId="29CBCA80" w:rsidR="00B42032" w:rsidRDefault="00EE5D70" w:rsidP="00D94690">
      <w:pPr>
        <w:spacing w:after="0" w:line="276" w:lineRule="auto"/>
        <w:ind w:left="-1276" w:right="-427"/>
        <w:jc w:val="both"/>
      </w:pPr>
      <w:r>
        <w:t>Отже, ми про</w:t>
      </w:r>
      <w:r w:rsidRPr="00482B8C">
        <w:t>аналізува</w:t>
      </w:r>
      <w:r>
        <w:t>ли</w:t>
      </w:r>
      <w:r w:rsidRPr="00482B8C">
        <w:t xml:space="preserve"> вплив вмісту заліза на той чи інший параметр</w:t>
      </w:r>
      <w:r w:rsidR="00C60DB6">
        <w:t>,</w:t>
      </w:r>
      <w:r>
        <w:t xml:space="preserve"> </w:t>
      </w:r>
      <w:r w:rsidR="00C60DB6">
        <w:t>а д</w:t>
      </w:r>
      <w:r w:rsidRPr="00482B8C">
        <w:t>ля розв’язку оберненої задачі</w:t>
      </w:r>
      <w:r>
        <w:t xml:space="preserve"> (тобто оцінка концентрації заліза за </w:t>
      </w:r>
      <w:r w:rsidRPr="00482B8C">
        <w:t xml:space="preserve">параметрами фотоелектричного перетворення та характеристиками </w:t>
      </w:r>
      <w:r>
        <w:t xml:space="preserve">сонячного елемента) </w:t>
      </w:r>
      <w:r w:rsidRPr="00482B8C">
        <w:t>можуть бути використані алгоритми машинного навчання</w:t>
      </w:r>
      <w:r>
        <w:t xml:space="preserve">. Щоб зрозуміти який набір дескрипторів треба для ефективної оцінки концентрації заліза методами машинного навчання була досліджена ступінь кореляції змін фотоелектричних параметрів. </w:t>
      </w:r>
      <w:r w:rsidR="00D94690">
        <w:t>Також була п</w:t>
      </w:r>
      <w:r w:rsidRPr="00482B8C">
        <w:t>оказан</w:t>
      </w:r>
      <w:r w:rsidR="00D94690">
        <w:t>а</w:t>
      </w:r>
      <w:r w:rsidRPr="00482B8C">
        <w:t xml:space="preserve"> доцільність застосування </w:t>
      </w:r>
      <w:r w:rsidR="00D94690">
        <w:t xml:space="preserve">аналізу головних компонент (або </w:t>
      </w:r>
      <w:r w:rsidR="00D94690">
        <w:rPr>
          <w:lang w:val="en-US"/>
        </w:rPr>
        <w:t>PCA</w:t>
      </w:r>
      <w:r w:rsidR="00D94690" w:rsidRPr="00D94690">
        <w:t>)</w:t>
      </w:r>
      <w:r w:rsidRPr="00482B8C">
        <w:t>, який зменшує кількість змінних, зберігаючи при цьому максимальну пояснену дисперсію</w:t>
      </w:r>
      <w:r w:rsidR="00D94690">
        <w:t xml:space="preserve"> (наприклад</w:t>
      </w:r>
      <w:r w:rsidR="00B20D13">
        <w:t xml:space="preserve"> </w:t>
      </w:r>
      <w:r w:rsidRPr="00482B8C">
        <w:t xml:space="preserve">. Встановлено, що для оцінки </w:t>
      </w:r>
      <w:r w:rsidR="00D94690">
        <w:t>концентрації заліза</w:t>
      </w:r>
      <w:r w:rsidRPr="00482B8C">
        <w:t xml:space="preserve"> з використанням змін фотоелектричних параметрів </w:t>
      </w:r>
      <w:r w:rsidR="00D94690">
        <w:t>найефективніше буде</w:t>
      </w:r>
      <w:r w:rsidRPr="00482B8C">
        <w:t xml:space="preserve"> використовувати наб</w:t>
      </w:r>
      <w:r w:rsidR="00D94690">
        <w:t>ори дескрипторів що обведені червоним</w:t>
      </w:r>
      <w:r w:rsidRPr="00482B8C">
        <w:t xml:space="preserve"> </w:t>
      </w:r>
      <w:r w:rsidR="00D94690">
        <w:t>в таблиці.</w:t>
      </w:r>
    </w:p>
    <w:p w14:paraId="32A3286C" w14:textId="0FAA841A" w:rsidR="00D777CD" w:rsidRDefault="00D94690" w:rsidP="00230BF5">
      <w:pPr>
        <w:spacing w:after="0" w:line="276" w:lineRule="auto"/>
        <w:ind w:left="-1276" w:right="-427"/>
        <w:jc w:val="both"/>
        <w:rPr>
          <w:rFonts w:eastAsiaTheme="minorEastAsia"/>
        </w:rPr>
      </w:pPr>
      <w:r>
        <w:t>Слайд 1</w:t>
      </w:r>
      <w:r>
        <w:t>8</w:t>
      </w:r>
      <w:r>
        <w:t xml:space="preserve"> ----------------------------------------------------------------------------------------------------------</w:t>
      </w:r>
      <w:r w:rsidR="00D777CD">
        <w:t>Наступним кроком в дослідженні б</w:t>
      </w:r>
      <w:r w:rsidR="002F61CD" w:rsidRPr="00482B8C">
        <w:t xml:space="preserve">ув розроблений машинно-орієнтований підхід для швидкої оцінки концентрації заліза у кремнієвих сонячних елементах на основі </w:t>
      </w:r>
      <w:proofErr w:type="spellStart"/>
      <w:r w:rsidR="002F61CD" w:rsidRPr="00482B8C">
        <w:t>фактора</w:t>
      </w:r>
      <w:proofErr w:type="spellEnd"/>
      <w:r w:rsidR="002F61CD" w:rsidRPr="00482B8C">
        <w:t xml:space="preserve"> </w:t>
      </w:r>
      <w:proofErr w:type="spellStart"/>
      <w:r w:rsidR="002F61CD" w:rsidRPr="00482B8C">
        <w:t>неідеальності</w:t>
      </w:r>
      <w:proofErr w:type="spellEnd"/>
      <w:r w:rsidR="002F61CD" w:rsidRPr="00482B8C">
        <w:t xml:space="preserve">, температури, товщини бази та рівня легування. </w:t>
      </w:r>
      <w:r w:rsidR="00230BF5" w:rsidRPr="00482B8C">
        <w:t xml:space="preserve">Для оцінки концентрації забруднюючого заліза були створені дві окремі DNN, </w:t>
      </w:r>
      <w:r w:rsidR="00A63C47">
        <w:t>з різними</w:t>
      </w:r>
      <w:r w:rsidR="00230BF5" w:rsidRPr="00482B8C">
        <w:t xml:space="preserve"> набор</w:t>
      </w:r>
      <w:r w:rsidR="00A63C47">
        <w:t>ами</w:t>
      </w:r>
      <w:r w:rsidR="00230BF5" w:rsidRPr="00482B8C">
        <w:t xml:space="preserve"> вхідних даних: перша модель</w:t>
      </w:r>
      <w:r w:rsidR="00230BF5" w:rsidRPr="00482B8C">
        <w:rPr>
          <w:rFonts w:eastAsiaTheme="minorEastAsia"/>
        </w:rPr>
        <w:t xml:space="preserve">, використовувала як дескриптори </w:t>
      </w:r>
      <w:r w:rsidR="00230BF5" w:rsidRPr="00482B8C">
        <w:t>товщину бази, логарифм концентрації бору</w:t>
      </w:r>
      <w:r w:rsidR="00230BF5">
        <w:t xml:space="preserve">, </w:t>
      </w:r>
      <w:r w:rsidR="00230BF5" w:rsidRPr="00482B8C">
        <w:t xml:space="preserve">температуру та фактор </w:t>
      </w:r>
      <w:proofErr w:type="spellStart"/>
      <w:r w:rsidR="00230BF5" w:rsidRPr="00482B8C">
        <w:t>неідеальності</w:t>
      </w:r>
      <w:proofErr w:type="spellEnd"/>
      <w:r w:rsidR="00230BF5" w:rsidRPr="00482B8C">
        <w:t xml:space="preserve"> для стану, в якому співіснують комплекси </w:t>
      </w:r>
      <m:oMath>
        <m:r>
          <m:rPr>
            <m:nor/>
          </m:rPr>
          <w:rPr>
            <w:rFonts w:cs="Times New Roman"/>
            <w:iCs/>
          </w:rPr>
          <m:t>F</m:t>
        </m:r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B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s</m:t>
            </m:r>
          </m:sub>
        </m:sSub>
      </m:oMath>
      <w:r w:rsidR="00230BF5" w:rsidRPr="00482B8C">
        <w:rPr>
          <w:rFonts w:eastAsiaTheme="minorEastAsia"/>
        </w:rPr>
        <w:t xml:space="preserve"> та </w:t>
      </w:r>
      <w:proofErr w:type="spellStart"/>
      <w:r w:rsidR="00230BF5" w:rsidRPr="00482B8C">
        <w:rPr>
          <w:rFonts w:eastAsiaTheme="minorEastAsia"/>
        </w:rPr>
        <w:t>міжвузлові</w:t>
      </w:r>
      <w:proofErr w:type="spellEnd"/>
      <w:r w:rsidR="00230BF5" w:rsidRPr="00482B8C">
        <w:rPr>
          <w:rFonts w:eastAsiaTheme="minorEastAsia"/>
        </w:rPr>
        <w:t xml:space="preserve"> атоми </w:t>
      </w:r>
      <m:oMath>
        <m:r>
          <m:rPr>
            <m:nor/>
          </m:rPr>
          <w:rPr>
            <w:rFonts w:cs="Times New Roman"/>
            <w:iCs/>
          </w:rPr>
          <m:t>F</m:t>
        </m:r>
        <m:sSub>
          <m:sSubPr>
            <m:ctrlPr>
              <w:rPr>
                <w:rFonts w:ascii="Cambria Math" w:hAnsi="Cambria Math" w:cs="Times New Roman"/>
                <w:iCs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  <w:iCs/>
                <w:lang w:val="en-US"/>
              </w:rPr>
              <m:t>e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lang w:val="en-US"/>
              </w:rPr>
              <m:t>i</m:t>
            </m:r>
          </m:sub>
        </m:sSub>
      </m:oMath>
      <w:r w:rsidR="00A63C47">
        <w:rPr>
          <w:rFonts w:eastAsiaTheme="minorEastAsia"/>
        </w:rPr>
        <w:t xml:space="preserve">, </w:t>
      </w:r>
      <w:r w:rsidR="00230BF5" w:rsidRPr="00482B8C">
        <w:rPr>
          <w:rFonts w:eastAsiaTheme="minorEastAsia"/>
        </w:rPr>
        <w:t xml:space="preserve">друга модель, додатково до вже згаданих параметрів, розглядала фактор </w:t>
      </w:r>
      <w:proofErr w:type="spellStart"/>
      <w:r w:rsidR="00230BF5" w:rsidRPr="00482B8C">
        <w:rPr>
          <w:rFonts w:eastAsiaTheme="minorEastAsia"/>
        </w:rPr>
        <w:t>неідеальності</w:t>
      </w:r>
      <w:proofErr w:type="spellEnd"/>
      <w:r w:rsidR="00230BF5" w:rsidRPr="00482B8C">
        <w:rPr>
          <w:rFonts w:eastAsiaTheme="minorEastAsia"/>
        </w:rPr>
        <w:t xml:space="preserve"> для стану, </w:t>
      </w:r>
      <w:r w:rsidR="00230BF5">
        <w:rPr>
          <w:rFonts w:eastAsiaTheme="minorEastAsia"/>
        </w:rPr>
        <w:t>при якому</w:t>
      </w:r>
      <w:r w:rsidR="00230BF5" w:rsidRPr="00482B8C">
        <w:rPr>
          <w:rFonts w:eastAsiaTheme="minorEastAsia"/>
        </w:rPr>
        <w:t xml:space="preserve"> в </w:t>
      </w:r>
      <w:r w:rsidR="00230BF5">
        <w:rPr>
          <w:rFonts w:eastAsiaTheme="minorEastAsia"/>
        </w:rPr>
        <w:t>сонячному елементі</w:t>
      </w:r>
      <w:r w:rsidR="00230BF5" w:rsidRPr="00482B8C">
        <w:rPr>
          <w:rFonts w:eastAsiaTheme="minorEastAsia"/>
        </w:rPr>
        <w:t xml:space="preserve"> наявні тільки </w:t>
      </w:r>
      <w:proofErr w:type="spellStart"/>
      <w:r w:rsidR="00230BF5" w:rsidRPr="00482B8C">
        <w:rPr>
          <w:rFonts w:eastAsiaTheme="minorEastAsia"/>
        </w:rPr>
        <w:t>міжвузлові</w:t>
      </w:r>
      <w:proofErr w:type="spellEnd"/>
      <w:r w:rsidR="00230BF5" w:rsidRPr="00482B8C">
        <w:rPr>
          <w:rFonts w:eastAsiaTheme="minorEastAsia"/>
        </w:rPr>
        <w:t xml:space="preserve"> атоми заліза</w:t>
      </w:r>
      <w:r w:rsidR="00A63C47">
        <w:rPr>
          <w:rFonts w:eastAsiaTheme="minorEastAsia"/>
        </w:rPr>
        <w:t>.</w:t>
      </w:r>
    </w:p>
    <w:p w14:paraId="6BDD7A38" w14:textId="00B4BC0D" w:rsidR="002F61CD" w:rsidRPr="00230BF5" w:rsidRDefault="00230BF5" w:rsidP="002F61CD">
      <w:pPr>
        <w:spacing w:after="0" w:line="276" w:lineRule="auto"/>
        <w:ind w:left="-1276" w:right="-427"/>
        <w:jc w:val="both"/>
        <w:rPr>
          <w:rFonts w:eastAsiaTheme="minorEastAsia"/>
        </w:rPr>
      </w:pPr>
      <w:r>
        <w:t>Слайд 1</w:t>
      </w:r>
      <w:r>
        <w:t>9</w:t>
      </w:r>
      <w:r>
        <w:t xml:space="preserve"> ----------------------------------------------------------------------------------------------------------</w:t>
      </w:r>
    </w:p>
    <w:p w14:paraId="1F4E647C" w14:textId="176423F0" w:rsidR="00D36554" w:rsidRPr="007C5D6E" w:rsidRDefault="00D36554" w:rsidP="002F61CD">
      <w:pPr>
        <w:spacing w:after="0" w:line="276" w:lineRule="auto"/>
        <w:ind w:left="-1276" w:right="-427"/>
        <w:jc w:val="both"/>
        <w:rPr>
          <w:szCs w:val="28"/>
        </w:rPr>
      </w:pPr>
      <w:r>
        <w:rPr>
          <w:rFonts w:eastAsiaTheme="minorEastAsia"/>
        </w:rPr>
        <w:t xml:space="preserve">Окрім </w:t>
      </w:r>
      <w:r w:rsidRPr="00482B8C">
        <w:rPr>
          <w:szCs w:val="28"/>
        </w:rPr>
        <w:t>відносн</w:t>
      </w:r>
      <w:r>
        <w:rPr>
          <w:szCs w:val="28"/>
        </w:rPr>
        <w:t>ої</w:t>
      </w:r>
      <w:r w:rsidRPr="00482B8C">
        <w:rPr>
          <w:szCs w:val="28"/>
        </w:rPr>
        <w:t xml:space="preserve"> квадратичн</w:t>
      </w:r>
      <w:r>
        <w:rPr>
          <w:szCs w:val="28"/>
        </w:rPr>
        <w:t>ої похибки</w:t>
      </w:r>
      <w:r w:rsidRPr="00482B8C">
        <w:rPr>
          <w:szCs w:val="28"/>
        </w:rPr>
        <w:t xml:space="preserve"> </w:t>
      </w:r>
      <w:r>
        <w:rPr>
          <w:szCs w:val="28"/>
        </w:rPr>
        <w:t xml:space="preserve">та її середнього значення як функції втрат в дослідженні використовували як метрики ефективності </w:t>
      </w:r>
      <w:r w:rsidR="006740EC">
        <w:rPr>
          <w:szCs w:val="28"/>
        </w:rPr>
        <w:t>-</w:t>
      </w:r>
      <w:r>
        <w:rPr>
          <w:szCs w:val="28"/>
        </w:rPr>
        <w:t xml:space="preserve"> коефіцієнт кореляції </w:t>
      </w:r>
      <w:proofErr w:type="spellStart"/>
      <w:r>
        <w:rPr>
          <w:szCs w:val="28"/>
        </w:rPr>
        <w:t>Пірсона</w:t>
      </w:r>
      <w:proofErr w:type="spellEnd"/>
      <w:r>
        <w:rPr>
          <w:szCs w:val="28"/>
        </w:rPr>
        <w:t>, про який вже згадували та коефіцієнт детермінації.</w:t>
      </w:r>
      <w:r w:rsidR="006740EC">
        <w:rPr>
          <w:szCs w:val="28"/>
        </w:rPr>
        <w:t xml:space="preserve"> </w:t>
      </w:r>
      <w:r w:rsidR="00EC743E" w:rsidRPr="00482B8C">
        <w:rPr>
          <w:szCs w:val="28"/>
        </w:rPr>
        <w:t xml:space="preserve">Для оптимізації архітектури та </w:t>
      </w:r>
      <w:proofErr w:type="spellStart"/>
      <w:r w:rsidR="00EC743E" w:rsidRPr="00482B8C">
        <w:rPr>
          <w:szCs w:val="28"/>
        </w:rPr>
        <w:t>гіперпараметрів</w:t>
      </w:r>
      <w:proofErr w:type="spellEnd"/>
      <w:r w:rsidR="00EC743E" w:rsidRPr="00482B8C">
        <w:rPr>
          <w:szCs w:val="28"/>
        </w:rPr>
        <w:t xml:space="preserve"> </w:t>
      </w:r>
      <w:r w:rsidR="00EC743E" w:rsidRPr="00482B8C">
        <w:t>DNN</w:t>
      </w:r>
      <w:r w:rsidR="00EC743E" w:rsidRPr="00482B8C">
        <w:rPr>
          <w:szCs w:val="28"/>
        </w:rPr>
        <w:t xml:space="preserve"> було застосовано двоетапне налаштування. На першому етапі здійснювався </w:t>
      </w:r>
      <w:proofErr w:type="spellStart"/>
      <w:r w:rsidR="00EC743E">
        <w:rPr>
          <w:szCs w:val="28"/>
        </w:rPr>
        <w:t>гратковий</w:t>
      </w:r>
      <w:proofErr w:type="spellEnd"/>
      <w:r w:rsidR="00EC743E" w:rsidRPr="00482B8C">
        <w:rPr>
          <w:szCs w:val="28"/>
        </w:rPr>
        <w:t xml:space="preserve"> пошук, що дозволяло звузити простір пошуку та визначити найбільш перспективні конфігурації. На другому етапі для більш точного налаштування використовували випадковий пошук, що забезпечувало ефективний пошук раціонального поєднання параметрів моделі.</w:t>
      </w:r>
      <w:r w:rsidR="00EC743E">
        <w:rPr>
          <w:szCs w:val="28"/>
        </w:rPr>
        <w:t xml:space="preserve"> Початковий простір пошуку </w:t>
      </w:r>
      <w:proofErr w:type="spellStart"/>
      <w:r w:rsidR="00EC743E">
        <w:rPr>
          <w:szCs w:val="28"/>
        </w:rPr>
        <w:t>гіперпараметрів</w:t>
      </w:r>
      <w:proofErr w:type="spellEnd"/>
      <w:r w:rsidR="00EC743E">
        <w:rPr>
          <w:szCs w:val="28"/>
        </w:rPr>
        <w:t xml:space="preserve"> наведений на слайді.</w:t>
      </w:r>
      <w:r w:rsidR="007C5D6E">
        <w:rPr>
          <w:szCs w:val="28"/>
        </w:rPr>
        <w:t xml:space="preserve"> Загалом було три набори даних – тренувальний, про який вже згадували, тестовий, що містив набори ВАХ де один з параметрів відрізнявся від тренувального набору та </w:t>
      </w:r>
      <w:r w:rsidR="007C5D6E">
        <w:rPr>
          <w:szCs w:val="28"/>
          <w:lang w:val="en-US"/>
        </w:rPr>
        <w:t>Full</w:t>
      </w:r>
      <w:r w:rsidR="007C5D6E" w:rsidRPr="007C5D6E">
        <w:rPr>
          <w:szCs w:val="28"/>
          <w:lang w:val="ru-RU"/>
        </w:rPr>
        <w:t xml:space="preserve"> </w:t>
      </w:r>
      <w:r w:rsidR="007C5D6E">
        <w:rPr>
          <w:szCs w:val="28"/>
        </w:rPr>
        <w:t>набір, для тренування моделей та тестування на експериментальних даних.</w:t>
      </w:r>
    </w:p>
    <w:p w14:paraId="107C619E" w14:textId="77777777" w:rsidR="00AE2892" w:rsidRDefault="00EC743E" w:rsidP="007C5D6E">
      <w:pPr>
        <w:spacing w:after="0" w:line="276" w:lineRule="auto"/>
        <w:ind w:left="-1276" w:right="-427"/>
        <w:jc w:val="both"/>
      </w:pPr>
      <w:r>
        <w:t xml:space="preserve">Слайд </w:t>
      </w:r>
      <w:r>
        <w:t>20</w:t>
      </w:r>
      <w:r>
        <w:t xml:space="preserve"> ----------------------------------------------------------------------------------------------------------</w:t>
      </w:r>
    </w:p>
    <w:p w14:paraId="019FAF6A" w14:textId="2C87489C" w:rsidR="00AE2892" w:rsidRDefault="00AE2892" w:rsidP="00AE2892">
      <w:pPr>
        <w:spacing w:after="0" w:line="276" w:lineRule="auto"/>
        <w:ind w:left="-1276" w:right="-427"/>
        <w:jc w:val="both"/>
        <w:rPr>
          <w:szCs w:val="28"/>
        </w:rPr>
      </w:pPr>
      <w:r>
        <w:rPr>
          <w:szCs w:val="28"/>
        </w:rPr>
        <w:t xml:space="preserve">На слайді наведені отримані раціональні </w:t>
      </w:r>
      <w:proofErr w:type="spellStart"/>
      <w:r>
        <w:rPr>
          <w:szCs w:val="28"/>
        </w:rPr>
        <w:t>гіперпараметри</w:t>
      </w:r>
      <w:proofErr w:type="spellEnd"/>
      <w:r>
        <w:rPr>
          <w:szCs w:val="28"/>
        </w:rPr>
        <w:t xml:space="preserve">, результати 10-ти кратної перехресної перевірки та результати тестування. </w:t>
      </w:r>
      <w:r w:rsidRPr="00482B8C">
        <w:rPr>
          <w:szCs w:val="28"/>
        </w:rPr>
        <w:t xml:space="preserve">Як видно з наведених результатів для мережі з 4 вхідними вузлами збільшення кількості даних покращує якість тренування. З іншого боку, при використанні двох значень </w:t>
      </w:r>
      <w:proofErr w:type="spellStart"/>
      <w:r w:rsidRPr="00482B8C">
        <w:rPr>
          <w:szCs w:val="28"/>
        </w:rPr>
        <w:t>фактора</w:t>
      </w:r>
      <w:proofErr w:type="spellEnd"/>
      <w:r w:rsidRPr="00482B8C">
        <w:rPr>
          <w:szCs w:val="28"/>
        </w:rPr>
        <w:t xml:space="preserve"> </w:t>
      </w:r>
      <w:proofErr w:type="spellStart"/>
      <w:r w:rsidRPr="00482B8C">
        <w:rPr>
          <w:szCs w:val="28"/>
        </w:rPr>
        <w:t>неідеальності</w:t>
      </w:r>
      <w:proofErr w:type="spellEnd"/>
      <w:r w:rsidRPr="00482B8C">
        <w:rPr>
          <w:szCs w:val="28"/>
        </w:rPr>
        <w:t xml:space="preserve"> спостерігається значне зменшення похибки </w:t>
      </w:r>
      <w:r w:rsidRPr="00482B8C">
        <w:rPr>
          <w:szCs w:val="28"/>
          <w:lang w:val="en-US"/>
        </w:rPr>
        <w:t>MSRE</w:t>
      </w:r>
      <w:r w:rsidRPr="00482B8C">
        <w:rPr>
          <w:szCs w:val="28"/>
        </w:rPr>
        <w:t>, однак збільшення кількості даних не покращує якість навчання.</w:t>
      </w:r>
    </w:p>
    <w:p w14:paraId="1F9EB16A" w14:textId="77777777" w:rsidR="00321E7D" w:rsidRDefault="00321E7D" w:rsidP="00321E7D">
      <w:pPr>
        <w:spacing w:after="0" w:line="276" w:lineRule="auto"/>
        <w:ind w:left="-1276" w:right="-427"/>
        <w:jc w:val="both"/>
      </w:pPr>
    </w:p>
    <w:p w14:paraId="4131AA1A" w14:textId="77777777" w:rsidR="00321E7D" w:rsidRDefault="00321E7D" w:rsidP="00321E7D">
      <w:pPr>
        <w:spacing w:after="0" w:line="276" w:lineRule="auto"/>
        <w:ind w:left="-1276" w:right="-427"/>
        <w:jc w:val="both"/>
      </w:pPr>
    </w:p>
    <w:p w14:paraId="1DF074B8" w14:textId="77777777" w:rsidR="00321E7D" w:rsidRDefault="00321E7D" w:rsidP="00321E7D">
      <w:pPr>
        <w:spacing w:after="0" w:line="276" w:lineRule="auto"/>
        <w:ind w:left="-1276" w:right="-427"/>
        <w:jc w:val="both"/>
      </w:pPr>
    </w:p>
    <w:p w14:paraId="634C47B0" w14:textId="2957875B" w:rsidR="00321E7D" w:rsidRDefault="00321E7D" w:rsidP="00321E7D">
      <w:pPr>
        <w:spacing w:after="0" w:line="276" w:lineRule="auto"/>
        <w:ind w:left="-1276" w:right="-427"/>
        <w:jc w:val="both"/>
      </w:pPr>
      <w:r>
        <w:lastRenderedPageBreak/>
        <w:t>Слайд 2</w:t>
      </w:r>
      <w:r>
        <w:t>1</w:t>
      </w:r>
      <w:r>
        <w:t xml:space="preserve"> ----------------------------------------------------------------------------------------------------------</w:t>
      </w:r>
    </w:p>
    <w:p w14:paraId="16E7C4E3" w14:textId="2C69B801" w:rsidR="00321E7D" w:rsidRDefault="00321E7D" w:rsidP="007C5D6E">
      <w:pPr>
        <w:spacing w:after="0" w:line="276" w:lineRule="auto"/>
        <w:ind w:left="-1276" w:right="-427"/>
        <w:jc w:val="both"/>
        <w:rPr>
          <w:szCs w:val="28"/>
        </w:rPr>
      </w:pPr>
      <w:r>
        <w:t xml:space="preserve">Якщо дивитися на результати першої моделі (зліва), то </w:t>
      </w:r>
      <w:r>
        <w:rPr>
          <w:szCs w:val="28"/>
        </w:rPr>
        <w:t>д</w:t>
      </w:r>
      <w:r w:rsidRPr="00482B8C">
        <w:rPr>
          <w:szCs w:val="28"/>
        </w:rPr>
        <w:t>ля B-</w:t>
      </w:r>
      <w:proofErr w:type="spellStart"/>
      <w:r w:rsidRPr="00482B8C">
        <w:t>altered</w:t>
      </w:r>
      <w:proofErr w:type="spellEnd"/>
      <w:r w:rsidRPr="00482B8C">
        <w:rPr>
          <w:szCs w:val="28"/>
        </w:rPr>
        <w:t xml:space="preserve">, найбільше значення </w:t>
      </w:r>
      <m:oMath>
        <m:r>
          <m:rPr>
            <m:nor/>
          </m:rPr>
          <w:rPr>
            <w:szCs w:val="28"/>
          </w:rPr>
          <m:t>MSRE = 1,06</m:t>
        </m:r>
      </m:oMath>
      <w:r w:rsidRPr="00482B8C">
        <w:rPr>
          <w:szCs w:val="28"/>
        </w:rPr>
        <w:t xml:space="preserve"> пов’язане переважно з невеликою кількістю випадків, для яких </w:t>
      </w:r>
      <m:oMath>
        <m:r>
          <m:rPr>
            <m:nor/>
          </m:rPr>
          <w:rPr>
            <w:szCs w:val="28"/>
          </w:rPr>
          <m:t>SRE</m:t>
        </m:r>
        <m:r>
          <m:rPr>
            <m:nor/>
          </m:rPr>
          <w:rPr>
            <w:rFonts w:ascii="Cambria Math"/>
            <w:szCs w:val="28"/>
          </w:rPr>
          <m:t xml:space="preserve"> </m:t>
        </m:r>
        <m:r>
          <m:rPr>
            <m:nor/>
          </m:rPr>
          <w:rPr>
            <w:szCs w:val="28"/>
          </w:rPr>
          <m:t>&gt;</m:t>
        </m:r>
        <m:r>
          <m:rPr>
            <m:nor/>
          </m:rPr>
          <w:rPr>
            <w:rFonts w:ascii="Cambria Math"/>
            <w:szCs w:val="28"/>
          </w:rPr>
          <m:t xml:space="preserve"> </m:t>
        </m:r>
        <m:r>
          <m:rPr>
            <m:nor/>
          </m:rPr>
          <w:rPr>
            <w:szCs w:val="28"/>
          </w:rPr>
          <m:t>20</m:t>
        </m:r>
      </m:oMath>
      <w:r w:rsidRPr="00482B8C">
        <w:rPr>
          <w:szCs w:val="28"/>
        </w:rPr>
        <w:t xml:space="preserve">, тоді як для 54% випадків </w:t>
      </w:r>
      <m:oMath>
        <m:r>
          <m:rPr>
            <m:nor/>
          </m:rPr>
          <w:rPr>
            <w:szCs w:val="28"/>
          </w:rPr>
          <m:t>SRE</m:t>
        </m:r>
        <m:r>
          <m:rPr>
            <m:nor/>
          </m:rPr>
          <w:rPr>
            <w:rFonts w:ascii="Cambria Math"/>
            <w:szCs w:val="28"/>
          </w:rPr>
          <m:t xml:space="preserve"> </m:t>
        </m:r>
        <m:r>
          <m:rPr>
            <m:nor/>
          </m:rPr>
          <w:rPr>
            <w:szCs w:val="28"/>
          </w:rPr>
          <m:t>&lt;</m:t>
        </m:r>
        <m:r>
          <m:rPr>
            <m:nor/>
          </m:rPr>
          <w:rPr>
            <w:rFonts w:ascii="Cambria Math"/>
            <w:szCs w:val="28"/>
          </w:rPr>
          <m:t xml:space="preserve"> </m:t>
        </m:r>
        <m:r>
          <m:rPr>
            <m:nor/>
          </m:rPr>
          <w:rPr>
            <w:szCs w:val="28"/>
          </w:rPr>
          <m:t>0,05</m:t>
        </m:r>
      </m:oMath>
      <w:r w:rsidRPr="00482B8C">
        <w:rPr>
          <w:szCs w:val="28"/>
        </w:rPr>
        <w:t xml:space="preserve">. Найгірші результати прогнозування, як і очікувалося, спостерігаються для тестового набору </w:t>
      </w:r>
      <w:proofErr w:type="spellStart"/>
      <w:r w:rsidRPr="00482B8C">
        <w:rPr>
          <w:szCs w:val="28"/>
        </w:rPr>
        <w:t>All-</w:t>
      </w:r>
      <w:r w:rsidRPr="00482B8C">
        <w:t>altered</w:t>
      </w:r>
      <w:proofErr w:type="spellEnd"/>
      <w:r w:rsidR="00FE4B88">
        <w:rPr>
          <w:szCs w:val="28"/>
        </w:rPr>
        <w:t xml:space="preserve">. </w:t>
      </w:r>
      <w:r w:rsidRPr="00482B8C">
        <w:rPr>
          <w:szCs w:val="28"/>
        </w:rPr>
        <w:t xml:space="preserve">Водночас, для набору </w:t>
      </w:r>
      <w:proofErr w:type="spellStart"/>
      <w:r w:rsidRPr="00482B8C">
        <w:rPr>
          <w:szCs w:val="28"/>
        </w:rPr>
        <w:t>Fe-</w:t>
      </w:r>
      <w:r w:rsidRPr="00482B8C">
        <w:t>altered</w:t>
      </w:r>
      <w:proofErr w:type="spellEnd"/>
      <w:r w:rsidRPr="00482B8C">
        <w:rPr>
          <w:szCs w:val="28"/>
        </w:rPr>
        <w:t xml:space="preserve">, який найбільше наближений до реальних умов експлуатації, значення коефіцієнтів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nor/>
              </m:rPr>
              <w:rPr>
                <w:szCs w:val="28"/>
              </w:rPr>
              <m:t>R</m:t>
            </m:r>
          </m:e>
          <m:sup>
            <m:r>
              <m:rPr>
                <m:nor/>
              </m:rPr>
              <w:rPr>
                <w:szCs w:val="28"/>
              </w:rPr>
              <m:t>2</m:t>
            </m:r>
          </m:sup>
        </m:sSup>
      </m:oMath>
      <w:r w:rsidRPr="00482B8C">
        <w:rPr>
          <w:szCs w:val="28"/>
        </w:rPr>
        <w:t xml:space="preserve"> та </w:t>
      </w:r>
      <m:oMath>
        <m:r>
          <m:rPr>
            <m:nor/>
          </m:rPr>
          <w:rPr>
            <w:szCs w:val="28"/>
          </w:rPr>
          <m:t>R</m:t>
        </m:r>
      </m:oMath>
      <w:r w:rsidRPr="00482B8C">
        <w:rPr>
          <w:szCs w:val="28"/>
        </w:rPr>
        <w:t xml:space="preserve"> залишаються високими.</w:t>
      </w:r>
    </w:p>
    <w:p w14:paraId="0D79992A" w14:textId="25613318" w:rsidR="00FE4B88" w:rsidRDefault="00FE4B88" w:rsidP="007C5D6E">
      <w:pPr>
        <w:spacing w:after="0" w:line="276" w:lineRule="auto"/>
        <w:ind w:left="-1276" w:right="-427"/>
        <w:jc w:val="both"/>
        <w:rPr>
          <w:lang w:val="en-US"/>
        </w:rPr>
      </w:pPr>
      <w:r>
        <w:rPr>
          <w:szCs w:val="28"/>
        </w:rPr>
        <w:t xml:space="preserve">Для другої моделі </w:t>
      </w:r>
      <w:r w:rsidRPr="00482B8C">
        <w:t xml:space="preserve">максимальне SRE не перевищує одиниці навіть для набору даних </w:t>
      </w:r>
      <w:proofErr w:type="spellStart"/>
      <w:r w:rsidRPr="00482B8C">
        <w:t>All-altered</w:t>
      </w:r>
      <w:proofErr w:type="spellEnd"/>
      <w:r w:rsidRPr="00482B8C">
        <w:t>, а SRE нижче 0,02 для 93%, 92%, 73% і 97% випадків у наборах даних T-</w:t>
      </w:r>
      <w:proofErr w:type="spellStart"/>
      <w:r w:rsidRPr="00482B8C">
        <w:t>altered</w:t>
      </w:r>
      <w:proofErr w:type="spellEnd"/>
      <w:r w:rsidRPr="00482B8C">
        <w:t>, d-</w:t>
      </w:r>
      <w:proofErr w:type="spellStart"/>
      <w:r w:rsidRPr="00482B8C">
        <w:t>altered</w:t>
      </w:r>
      <w:proofErr w:type="spellEnd"/>
      <w:r w:rsidRPr="00482B8C">
        <w:t>, B-</w:t>
      </w:r>
      <w:proofErr w:type="spellStart"/>
      <w:r w:rsidRPr="00482B8C">
        <w:t>altered</w:t>
      </w:r>
      <w:proofErr w:type="spellEnd"/>
      <w:r w:rsidRPr="00482B8C">
        <w:t xml:space="preserve"> та </w:t>
      </w:r>
      <w:proofErr w:type="spellStart"/>
      <w:r w:rsidRPr="00482B8C">
        <w:t>Fe-altered</w:t>
      </w:r>
      <w:proofErr w:type="spellEnd"/>
      <w:r w:rsidRPr="00482B8C">
        <w:t xml:space="preserve"> відповідно. Слід зазначити, що для тестового набору даних </w:t>
      </w:r>
      <w:proofErr w:type="spellStart"/>
      <w:r w:rsidRPr="00482B8C">
        <w:t>Fe-altered</w:t>
      </w:r>
      <w:proofErr w:type="spellEnd"/>
      <w:r w:rsidRPr="00482B8C">
        <w:t xml:space="preserve"> як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m:rPr>
                <m:nor/>
              </m:rPr>
              <w:rPr>
                <w:rFonts w:cs="Times New Roman"/>
              </w:rPr>
              <m:t>R</m:t>
            </m:r>
          </m:e>
          <m:sup>
            <m:r>
              <m:rPr>
                <m:nor/>
              </m:rPr>
              <w:rPr>
                <w:rFonts w:cs="Times New Roman"/>
              </w:rPr>
              <m:t>2</m:t>
            </m:r>
          </m:sup>
        </m:sSup>
      </m:oMath>
      <w:r w:rsidRPr="00482B8C">
        <w:t>, так і R дорівнюють 0,999.</w:t>
      </w:r>
    </w:p>
    <w:p w14:paraId="7C2065CC" w14:textId="77777777" w:rsidR="00A241F7" w:rsidRDefault="00FE4B88" w:rsidP="00FE4B88">
      <w:pPr>
        <w:spacing w:after="0" w:line="276" w:lineRule="auto"/>
        <w:ind w:left="-1276" w:right="-427"/>
        <w:jc w:val="both"/>
      </w:pPr>
      <w:r>
        <w:t>Слайд 2</w:t>
      </w:r>
      <w:r>
        <w:t>2</w:t>
      </w:r>
      <w:r>
        <w:t xml:space="preserve"> ----------------------------------------------------------------------------------------------------------</w:t>
      </w:r>
    </w:p>
    <w:p w14:paraId="0F3A75F4" w14:textId="61750D71" w:rsidR="00D94690" w:rsidRPr="00B42032" w:rsidRDefault="00A241F7" w:rsidP="00FC1B5E">
      <w:pPr>
        <w:spacing w:after="0" w:line="276" w:lineRule="auto"/>
        <w:ind w:left="-1276" w:right="-427"/>
        <w:jc w:val="both"/>
      </w:pPr>
      <w:r>
        <w:t>На слайді наведен</w:t>
      </w:r>
      <w:r w:rsidR="00FC1B5E">
        <w:t>і</w:t>
      </w:r>
      <w:r>
        <w:t xml:space="preserve"> </w:t>
      </w:r>
      <w:r>
        <w:rPr>
          <w:rStyle w:val="Up60"/>
        </w:rPr>
        <w:t>р</w:t>
      </w:r>
      <w:r w:rsidRPr="00482B8C">
        <w:rPr>
          <w:rStyle w:val="Up60"/>
        </w:rPr>
        <w:t>езультат</w:t>
      </w:r>
      <w:r w:rsidR="00FC1B5E">
        <w:rPr>
          <w:rStyle w:val="Up60"/>
        </w:rPr>
        <w:t>и</w:t>
      </w:r>
      <w:r w:rsidRPr="00482B8C">
        <w:rPr>
          <w:rStyle w:val="Up60"/>
        </w:rPr>
        <w:t xml:space="preserve"> апроксимації</w:t>
      </w:r>
      <w:r w:rsidRPr="00482B8C">
        <w:t xml:space="preserve"> реальних ВАХ та передбачень </w:t>
      </w:r>
      <w:r>
        <w:t xml:space="preserve">глибоких нейронних мереж. </w:t>
      </w:r>
      <w:r w:rsidR="00FC1B5E">
        <w:t>П</w:t>
      </w:r>
      <w:r w:rsidRPr="00482B8C">
        <w:t xml:space="preserve">рогностична здатність моделей знаходиться на задовільному рівні. </w:t>
      </w:r>
      <w:r w:rsidR="00FC1B5E">
        <w:t>Р</w:t>
      </w:r>
      <w:r w:rsidR="00FC1B5E" w:rsidRPr="00482B8C">
        <w:t>езультати, отримані під час експериментальної перевірки, підтверджують тенденції, виявлені в результаті аналізу змодельованих ВАХ.</w:t>
      </w:r>
      <w:r w:rsidR="00FC1B5E">
        <w:t xml:space="preserve"> </w:t>
      </w:r>
      <w:r w:rsidR="00FC1B5E" w:rsidRPr="00FC1B5E">
        <w:rPr>
          <w:rFonts w:eastAsiaTheme="minorEastAsia"/>
        </w:rPr>
        <w:t>Н</w:t>
      </w:r>
      <w:r w:rsidR="00FC1B5E" w:rsidRPr="00FC1B5E">
        <w:rPr>
          <w:rFonts w:eastAsiaTheme="minorEastAsia"/>
        </w:rPr>
        <w:t>айбільші похибки спостерігаються у випадках низьких концентрацій бору та високих температур (</w:t>
      </w:r>
      <m:oMath>
        <m:r>
          <m:rPr>
            <m:nor/>
          </m:rPr>
          <w:rPr>
            <w:rFonts w:eastAsiaTheme="minorEastAsia" w:cs="Times New Roman"/>
          </w:rPr>
          <m:t>T</m:t>
        </m:r>
        <m:r>
          <m:rPr>
            <m:nor/>
          </m:rPr>
          <w:rPr>
            <w:rFonts w:ascii="Cambria Math" w:eastAsiaTheme="minorEastAsia" w:cs="Times New Roman"/>
          </w:rPr>
          <m:t xml:space="preserve"> </m:t>
        </m:r>
        <m:r>
          <m:rPr>
            <m:nor/>
          </m:rPr>
          <w:rPr>
            <w:rFonts w:eastAsiaTheme="minorEastAsia" w:cs="Times New Roman"/>
          </w:rPr>
          <m:t>&gt;</m:t>
        </m:r>
        <m:r>
          <m:rPr>
            <m:nor/>
          </m:rPr>
          <w:rPr>
            <w:rFonts w:ascii="Cambria Math" w:eastAsiaTheme="minorEastAsia" w:cs="Times New Roman"/>
          </w:rPr>
          <m:t xml:space="preserve"> </m:t>
        </m:r>
        <m:r>
          <m:rPr>
            <m:nor/>
          </m:rPr>
          <w:rPr>
            <w:rFonts w:eastAsiaTheme="minorEastAsia" w:cs="Times New Roman"/>
          </w:rPr>
          <m:t>320 K</m:t>
        </m:r>
      </m:oMath>
      <w:r w:rsidR="00FC1B5E" w:rsidRPr="00FC1B5E">
        <w:rPr>
          <w:rFonts w:eastAsiaTheme="minorEastAsia"/>
        </w:rPr>
        <w:t xml:space="preserve">), що пов’язано зі зменшенням рекомбінації за механізмом </w:t>
      </w:r>
      <w:proofErr w:type="spellStart"/>
      <w:r w:rsidR="00FC1B5E" w:rsidRPr="00FC1B5E">
        <w:rPr>
          <w:rFonts w:eastAsiaTheme="minorEastAsia"/>
        </w:rPr>
        <w:t>Шоклі-Ріда-Холла</w:t>
      </w:r>
      <w:proofErr w:type="spellEnd"/>
      <w:r w:rsidR="00FC1B5E" w:rsidRPr="00FC1B5E">
        <w:rPr>
          <w:rFonts w:eastAsiaTheme="minorEastAsia"/>
        </w:rPr>
        <w:t xml:space="preserve"> порівняння з власною рекомбінацією.</w:t>
      </w:r>
      <w:r w:rsidR="00FC1B5E">
        <w:t xml:space="preserve"> </w:t>
      </w:r>
      <w:r w:rsidR="002F61CD" w:rsidRPr="00482B8C">
        <w:rPr>
          <w:rFonts w:eastAsiaTheme="minorEastAsia"/>
        </w:rPr>
        <w:t xml:space="preserve">Перевірка методики на реальних ВАХ показала, що </w:t>
      </w:r>
      <w:r w:rsidR="002F61CD" w:rsidRPr="00482B8C">
        <w:t>DNN</w:t>
      </w:r>
      <w:r w:rsidR="002F61CD" w:rsidRPr="00482B8C">
        <w:rPr>
          <w:rFonts w:eastAsiaTheme="minorEastAsia"/>
        </w:rPr>
        <w:t xml:space="preserve"> слід тренувати </w:t>
      </w:r>
      <w:r w:rsidR="002F61CD" w:rsidRPr="00482B8C">
        <w:t xml:space="preserve">на значеннях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</w:rPr>
              <m:t>N</m:t>
            </m:r>
          </m:e>
          <m:sub>
            <m:r>
              <m:rPr>
                <m:nor/>
              </m:rPr>
              <w:rPr>
                <w:rFonts w:cs="Times New Roman"/>
              </w:rPr>
              <m:t>B</m:t>
            </m:r>
          </m:sub>
        </m:sSub>
      </m:oMath>
      <w:r w:rsidR="002F61CD" w:rsidRPr="00482B8C">
        <w:t xml:space="preserve">, що відповідають рівню легування зразків. </w:t>
      </w:r>
      <w:r w:rsidR="002F61CD" w:rsidRPr="00482B8C">
        <w:rPr>
          <w:rFonts w:eastAsiaTheme="minorEastAsia"/>
          <w:iCs/>
        </w:rPr>
        <w:t>Найменші похибки прогнозу концентрації заліза було отримано для моделей, що використовували чотири ознаки і тренувались на повному наборі даних.</w:t>
      </w:r>
    </w:p>
    <w:p w14:paraId="1FCDF7F3" w14:textId="77777777" w:rsidR="005C6FA5" w:rsidRPr="008B42D5" w:rsidRDefault="005C6FA5" w:rsidP="008B42D5">
      <w:pPr>
        <w:spacing w:after="0" w:line="276" w:lineRule="auto"/>
        <w:ind w:left="-1276" w:right="-427"/>
        <w:jc w:val="both"/>
        <w:rPr>
          <w:color w:val="4472C4" w:themeColor="accent1"/>
        </w:rPr>
      </w:pPr>
    </w:p>
    <w:p w14:paraId="56B99BD7" w14:textId="77777777" w:rsidR="009734B9" w:rsidRPr="001D74D8" w:rsidRDefault="009734B9" w:rsidP="00492FE1">
      <w:pPr>
        <w:spacing w:after="0" w:line="276" w:lineRule="auto"/>
        <w:ind w:left="-1276" w:right="-427"/>
        <w:jc w:val="both"/>
        <w:rPr>
          <w:rFonts w:cs="Times New Roman"/>
        </w:rPr>
      </w:pPr>
    </w:p>
    <w:sectPr w:rsidR="009734B9" w:rsidRPr="001D74D8" w:rsidSect="002902FC">
      <w:pgSz w:w="11906" w:h="16838" w:code="9"/>
      <w:pgMar w:top="426" w:right="851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6A4"/>
    <w:rsid w:val="000014C3"/>
    <w:rsid w:val="00084C97"/>
    <w:rsid w:val="000A695B"/>
    <w:rsid w:val="000A73B9"/>
    <w:rsid w:val="000C004F"/>
    <w:rsid w:val="000C647E"/>
    <w:rsid w:val="001156DF"/>
    <w:rsid w:val="00117E71"/>
    <w:rsid w:val="00140E9F"/>
    <w:rsid w:val="001D74D8"/>
    <w:rsid w:val="0020533D"/>
    <w:rsid w:val="00214542"/>
    <w:rsid w:val="00221B6E"/>
    <w:rsid w:val="00227E87"/>
    <w:rsid w:val="002306CB"/>
    <w:rsid w:val="00230BF5"/>
    <w:rsid w:val="002902FC"/>
    <w:rsid w:val="002D7C24"/>
    <w:rsid w:val="002F61CD"/>
    <w:rsid w:val="003066AF"/>
    <w:rsid w:val="00321E7D"/>
    <w:rsid w:val="003D79BC"/>
    <w:rsid w:val="003E1CE4"/>
    <w:rsid w:val="003E4DCE"/>
    <w:rsid w:val="003F43FF"/>
    <w:rsid w:val="00492FE1"/>
    <w:rsid w:val="004F1BD7"/>
    <w:rsid w:val="005256A8"/>
    <w:rsid w:val="0059668F"/>
    <w:rsid w:val="005C43A5"/>
    <w:rsid w:val="005C6FA5"/>
    <w:rsid w:val="00620B6D"/>
    <w:rsid w:val="0064116B"/>
    <w:rsid w:val="006564F8"/>
    <w:rsid w:val="0066377D"/>
    <w:rsid w:val="006740EC"/>
    <w:rsid w:val="006B0519"/>
    <w:rsid w:val="006B2833"/>
    <w:rsid w:val="006C0B77"/>
    <w:rsid w:val="006D1AAE"/>
    <w:rsid w:val="006F5E32"/>
    <w:rsid w:val="00745D21"/>
    <w:rsid w:val="00746D68"/>
    <w:rsid w:val="00754E3C"/>
    <w:rsid w:val="007C5D6E"/>
    <w:rsid w:val="007D78B0"/>
    <w:rsid w:val="008242FF"/>
    <w:rsid w:val="008410F7"/>
    <w:rsid w:val="008550FB"/>
    <w:rsid w:val="00870751"/>
    <w:rsid w:val="00884271"/>
    <w:rsid w:val="00885B18"/>
    <w:rsid w:val="008B42D5"/>
    <w:rsid w:val="00922C48"/>
    <w:rsid w:val="009734B9"/>
    <w:rsid w:val="00A046A4"/>
    <w:rsid w:val="00A12CBD"/>
    <w:rsid w:val="00A241F7"/>
    <w:rsid w:val="00A3025B"/>
    <w:rsid w:val="00A63C47"/>
    <w:rsid w:val="00AB5EB4"/>
    <w:rsid w:val="00AE2892"/>
    <w:rsid w:val="00B20D13"/>
    <w:rsid w:val="00B227FD"/>
    <w:rsid w:val="00B42032"/>
    <w:rsid w:val="00B42E49"/>
    <w:rsid w:val="00B915B7"/>
    <w:rsid w:val="00BB5C25"/>
    <w:rsid w:val="00BF3308"/>
    <w:rsid w:val="00C23296"/>
    <w:rsid w:val="00C60DB6"/>
    <w:rsid w:val="00C71F61"/>
    <w:rsid w:val="00CE2D09"/>
    <w:rsid w:val="00D36554"/>
    <w:rsid w:val="00D777CD"/>
    <w:rsid w:val="00D904FD"/>
    <w:rsid w:val="00D94690"/>
    <w:rsid w:val="00DB5D53"/>
    <w:rsid w:val="00DB7A6A"/>
    <w:rsid w:val="00DD2331"/>
    <w:rsid w:val="00E14D96"/>
    <w:rsid w:val="00E15884"/>
    <w:rsid w:val="00EA59DF"/>
    <w:rsid w:val="00EC743E"/>
    <w:rsid w:val="00EE4070"/>
    <w:rsid w:val="00EE5D70"/>
    <w:rsid w:val="00F12C76"/>
    <w:rsid w:val="00F250FB"/>
    <w:rsid w:val="00F43634"/>
    <w:rsid w:val="00FA2DBA"/>
    <w:rsid w:val="00FC1B5E"/>
    <w:rsid w:val="00FE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38F2A9"/>
  <w15:chartTrackingRefBased/>
  <w15:docId w15:val="{6CDAB44C-2C83-4436-ABB3-B55EF3A1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A0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6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6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6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6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6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6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6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6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A046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A046A4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A046A4"/>
    <w:rPr>
      <w:rFonts w:eastAsiaTheme="majorEastAsia" w:cstheme="majorBidi"/>
      <w:i/>
      <w:iCs/>
      <w:color w:val="2F5496" w:themeColor="accent1" w:themeShade="BF"/>
      <w:sz w:val="28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A046A4"/>
    <w:rPr>
      <w:rFonts w:eastAsiaTheme="majorEastAsia" w:cstheme="majorBidi"/>
      <w:color w:val="2F5496" w:themeColor="accent1" w:themeShade="BF"/>
      <w:sz w:val="28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A046A4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A046A4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A046A4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A046A4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A046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6A4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A046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6A4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21">
    <w:name w:val="Quote"/>
    <w:basedOn w:val="a"/>
    <w:next w:val="a"/>
    <w:link w:val="22"/>
    <w:uiPriority w:val="29"/>
    <w:qFormat/>
    <w:rsid w:val="00A0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6A4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a7">
    <w:name w:val="List Paragraph"/>
    <w:basedOn w:val="a"/>
    <w:uiPriority w:val="34"/>
    <w:qFormat/>
    <w:rsid w:val="00A046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6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6A4"/>
    <w:rPr>
      <w:rFonts w:ascii="Times New Roman" w:hAnsi="Times New Roman"/>
      <w:i/>
      <w:iCs/>
      <w:color w:val="2F5496" w:themeColor="accent1" w:themeShade="BF"/>
      <w:sz w:val="28"/>
      <w:lang w:val="uk-UA"/>
    </w:rPr>
  </w:style>
  <w:style w:type="character" w:styleId="ab">
    <w:name w:val="Intense Reference"/>
    <w:basedOn w:val="a0"/>
    <w:uiPriority w:val="32"/>
    <w:qFormat/>
    <w:rsid w:val="00A046A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84C9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ru-RU" w:eastAsia="ru-RU"/>
    </w:rPr>
  </w:style>
  <w:style w:type="character" w:styleId="ad">
    <w:name w:val="Placeholder Text"/>
    <w:basedOn w:val="a0"/>
    <w:uiPriority w:val="99"/>
    <w:semiHidden/>
    <w:rsid w:val="005C6FA5"/>
    <w:rPr>
      <w:color w:val="666666"/>
    </w:rPr>
  </w:style>
  <w:style w:type="paragraph" w:customStyle="1" w:styleId="Up6">
    <w:name w:val="Up6"/>
    <w:basedOn w:val="a"/>
    <w:link w:val="Up60"/>
    <w:qFormat/>
    <w:rsid w:val="00A241F7"/>
    <w:pPr>
      <w:spacing w:before="120" w:after="0" w:line="360" w:lineRule="auto"/>
    </w:pPr>
    <w:rPr>
      <w:noProof/>
    </w:rPr>
  </w:style>
  <w:style w:type="character" w:customStyle="1" w:styleId="Up60">
    <w:name w:val="Up6 Знак"/>
    <w:basedOn w:val="a0"/>
    <w:link w:val="Up6"/>
    <w:rsid w:val="00A241F7"/>
    <w:rPr>
      <w:rFonts w:ascii="Times New Roman" w:hAnsi="Times New Roman"/>
      <w:noProof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5</Pages>
  <Words>2305</Words>
  <Characters>13143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 Inc.</Company>
  <LinksUpToDate>false</LinksUpToDate>
  <CharactersWithSpaces>15418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Завгородній</dc:creator>
  <cp:keywords/>
  <dc:description/>
  <cp:lastModifiedBy>Олексій Завгородній</cp:lastModifiedBy>
  <cp:revision>97</cp:revision>
  <dcterms:created xsi:type="dcterms:W3CDTF">2026-01-14T14:22:00Z</dcterms:created>
  <dcterms:modified xsi:type="dcterms:W3CDTF">2026-01-28T06:47:00Z</dcterms:modified>
</cp:coreProperties>
</file>