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Fe-B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>Фізика наносистем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r>
        <w:rPr>
          <w:rFonts w:cs="Times New Roman"/>
          <w:b/>
          <w:bCs/>
        </w:rPr>
        <w:t>Костина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>Особливості світло-індукованого розпаду комплексів Fe-B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>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 Анотація</w:t>
      </w:r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r w:rsidRPr="00323008">
        <w:rPr>
          <w:rFonts w:cs="Times New Roman"/>
          <w:b/>
          <w:highlight w:val="yellow"/>
        </w:rPr>
        <w:t>Shatlik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r w:rsidR="00BD4639" w:rsidRPr="00BD4639">
        <w:t>Features of light-induced disasiation of Fe-B complexes in monocrystalline silicon</w:t>
      </w:r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r w:rsidRPr="00323008">
        <w:rPr>
          <w:rStyle w:val="fontstyle01"/>
          <w:i/>
          <w:iCs/>
        </w:rPr>
        <w:t>Bachelor</w:t>
      </w:r>
      <w:r w:rsidR="009F0185" w:rsidRPr="00323008">
        <w:rPr>
          <w:i/>
        </w:rPr>
        <w:t xml:space="preserve"> </w:t>
      </w:r>
      <w:r w:rsidR="009F0185" w:rsidRPr="00323008">
        <w:rPr>
          <w:rFonts w:cs="Times New Roman"/>
          <w:i/>
        </w:rPr>
        <w:t>qualification</w:t>
      </w:r>
      <w:r w:rsidR="009F0185" w:rsidRPr="00323008">
        <w:rPr>
          <w:i/>
        </w:rPr>
        <w:t xml:space="preserve"> in specialty 104 Physics and astronomy, educational program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r w:rsidRPr="00323008">
        <w:rPr>
          <w:i/>
        </w:rPr>
        <w:t>Physics</w:t>
      </w:r>
      <w:r w:rsidRPr="00323008">
        <w:rPr>
          <w:rFonts w:eastAsia="Times New Roman" w:cs="Times New Roman"/>
          <w:i/>
          <w:iCs/>
          <w:color w:val="000000"/>
        </w:rPr>
        <w:t xml:space="preserve"> and astronomy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». – Taras Shevchenko National University of Kyiv, Faculty of Physics, </w:t>
      </w:r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r w:rsidR="009F0185" w:rsidRPr="00323008">
        <w:rPr>
          <w:rFonts w:eastAsia="Times New Roman" w:cs="Times New Roman"/>
          <w:i/>
          <w:iCs/>
          <w:color w:val="000000"/>
        </w:rPr>
        <w:t xml:space="preserve"> Physics Department. – Kyiv.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Research supervisor</w:t>
      </w:r>
      <w:r w:rsidRPr="00323008">
        <w:rPr>
          <w:rFonts w:eastAsia="Calibri" w:cs="Times New Roman"/>
        </w:rPr>
        <w:t xml:space="preserve">: </w:t>
      </w:r>
      <w:r w:rsidRPr="00323008">
        <w:rPr>
          <w:rFonts w:eastAsia="Times New Roman" w:cs="Times New Roman"/>
          <w:iCs/>
        </w:rPr>
        <w:t>Doctor of Physic</w:t>
      </w:r>
      <w:r w:rsidR="00323008" w:rsidRPr="00323008">
        <w:rPr>
          <w:rFonts w:eastAsia="Times New Roman" w:cs="Times New Roman"/>
          <w:iCs/>
        </w:rPr>
        <w:t xml:space="preserve">і and </w:t>
      </w:r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r w:rsidRPr="00323008">
        <w:rPr>
          <w:rFonts w:eastAsia="Times New Roman" w:cs="Times New Roman"/>
          <w:iCs/>
        </w:rPr>
        <w:t>, Professor</w:t>
      </w:r>
      <w:r w:rsidRPr="00323008">
        <w:rPr>
          <w:rFonts w:eastAsia="Calibri" w:cs="Times New Roman"/>
        </w:rPr>
        <w:t xml:space="preserve"> Oleg OLIKH, Professor </w:t>
      </w:r>
      <w:r w:rsidR="00674C59" w:rsidRPr="00323008">
        <w:rPr>
          <w:rFonts w:eastAsia="Calibri" w:cs="Times New Roman"/>
        </w:rPr>
        <w:t>at</w:t>
      </w:r>
      <w:r w:rsidRPr="00323008">
        <w:rPr>
          <w:rFonts w:eastAsia="Calibri" w:cs="Times New Roman"/>
        </w:rPr>
        <w:t xml:space="preserve"> General Physics Department.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>Abstract Abstract Abstract Abstract Abstract Abstract Abstract Abstract Abstract Abstract Abstract Abstract Abstract Abstract Abstract Abstract Abstract Abstract Abstract Abstract Abstract Abstract Abstract Abstract Abstract Abstract Abstract Abstract Abstract Abstract</w:t>
      </w:r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r w:rsidRPr="00F55C20">
        <w:rPr>
          <w:rFonts w:cs="Times New Roman"/>
          <w:b/>
          <w:highlight w:val="yellow"/>
        </w:rPr>
        <w:t>Key words</w:t>
      </w:r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46FFD959" w14:textId="72B5F4F5" w:rsidR="00D270D8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793174" w:history="1">
        <w:r w:rsidR="00D270D8" w:rsidRPr="008662A1">
          <w:rPr>
            <w:rStyle w:val="a8"/>
            <w:noProof/>
          </w:rPr>
          <w:t>ВСТУП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4</w:t>
        </w:r>
        <w:r w:rsidR="00D270D8">
          <w:rPr>
            <w:noProof/>
            <w:webHidden/>
          </w:rPr>
          <w:fldChar w:fldCharType="end"/>
        </w:r>
      </w:hyperlink>
    </w:p>
    <w:p w14:paraId="604218F3" w14:textId="1A0D623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5" w:history="1">
        <w:r w:rsidR="00D270D8" w:rsidRPr="008662A1">
          <w:rPr>
            <w:rStyle w:val="a8"/>
            <w:noProof/>
          </w:rPr>
          <w:t>Розділ 1. Огляд літератури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62C41883" w14:textId="7FD6572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6" w:history="1">
        <w:r w:rsidR="00D270D8" w:rsidRPr="008662A1">
          <w:rPr>
            <w:rStyle w:val="a8"/>
            <w:noProof/>
          </w:rPr>
          <w:t>1.1.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17ED4B8F" w14:textId="0FFDA3FB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7" w:history="1">
        <w:r w:rsidR="00D270D8" w:rsidRPr="008662A1">
          <w:rPr>
            <w:rStyle w:val="a8"/>
            <w:noProof/>
          </w:rPr>
          <w:t>1.2.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05786AFE" w14:textId="4886C9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8" w:history="1">
        <w:r w:rsidR="00D270D8" w:rsidRPr="008662A1">
          <w:rPr>
            <w:rStyle w:val="a8"/>
            <w:noProof/>
          </w:rPr>
          <w:t>1.</w:t>
        </w:r>
        <w:r w:rsidR="00D270D8" w:rsidRPr="008662A1">
          <w:rPr>
            <w:rStyle w:val="a8"/>
            <w:noProof/>
            <w:lang w:val="ru-RU"/>
          </w:rPr>
          <w:t>3</w:t>
        </w:r>
        <w:r w:rsidR="00D270D8" w:rsidRPr="008662A1">
          <w:rPr>
            <w:rStyle w:val="a8"/>
            <w:noProof/>
          </w:rPr>
          <w:t>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_Toc131793178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77AD5508" w14:textId="5935F3F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9" w:history="1">
        <w:r w:rsidR="00D270D8" w:rsidRPr="008662A1">
          <w:rPr>
            <w:rStyle w:val="a8"/>
            <w:noProof/>
          </w:rPr>
          <w:t>Розділ 2. Методика експерименту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_Toc131793179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4FA40E0A" w14:textId="42193DA7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0" w:history="1">
        <w:r w:rsidR="00D270D8" w:rsidRPr="008662A1">
          <w:rPr>
            <w:rStyle w:val="a8"/>
            <w:noProof/>
          </w:rPr>
          <w:t>2.1 Експериментальна установка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_Toc131793180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63BB7278" w14:textId="4E60290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1" w:history="1">
        <w:r w:rsidR="00D270D8" w:rsidRPr="008662A1">
          <w:rPr>
            <w:rStyle w:val="a8"/>
            <w:noProof/>
          </w:rPr>
          <w:t>2.2 Результати калібрування джерел світла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_Toc131793181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29234175" w14:textId="7C96C96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2" w:history="1">
        <w:r w:rsidR="00D270D8" w:rsidRPr="008662A1">
          <w:rPr>
            <w:rStyle w:val="a8"/>
            <w:noProof/>
          </w:rPr>
          <w:t>2.3 Зразки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_Toc131793182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8</w:t>
        </w:r>
        <w:r w:rsidR="00D270D8">
          <w:rPr>
            <w:noProof/>
            <w:webHidden/>
          </w:rPr>
          <w:fldChar w:fldCharType="end"/>
        </w:r>
      </w:hyperlink>
    </w:p>
    <w:p w14:paraId="4892F381" w14:textId="04FE3035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3" w:history="1">
        <w:r w:rsidR="00D270D8" w:rsidRPr="008662A1">
          <w:rPr>
            <w:rStyle w:val="a8"/>
            <w:noProof/>
          </w:rPr>
          <w:t>Розділ 3. Отримані результати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_Toc131793183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48947913" w14:textId="00AD2A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4" w:history="1">
        <w:r w:rsidR="00D270D8" w:rsidRPr="008662A1">
          <w:rPr>
            <w:rStyle w:val="a8"/>
            <w:noProof/>
          </w:rPr>
          <w:t xml:space="preserve">3.1 Визначення характерного часу дисоціації пар </w:t>
        </w:r>
        <w:r w:rsidR="00D270D8" w:rsidRPr="008662A1">
          <w:rPr>
            <w:rStyle w:val="a8"/>
            <w:noProof/>
            <w:lang w:val="en-US"/>
          </w:rPr>
          <w:t>FeB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02F5A63F" w14:textId="074F17C5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5" w:history="1">
        <w:r w:rsidR="00D270D8" w:rsidRPr="008662A1">
          <w:rPr>
            <w:rStyle w:val="a8"/>
            <w:noProof/>
          </w:rPr>
          <w:t xml:space="preserve">3.2 Залежність темпу </w:t>
        </w:r>
        <w:r w:rsidR="00D270D8" w:rsidRPr="008662A1">
          <w:rPr>
            <w:rStyle w:val="a8"/>
            <w:rFonts w:eastAsia="Times New Roman"/>
            <w:noProof/>
            <w:lang w:eastAsia="ru-RU"/>
          </w:rPr>
          <w:t>світло-індукованого розпаду комплексів Fe-B від спектрального складу освітлення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15</w:t>
        </w:r>
        <w:r w:rsidR="00D270D8">
          <w:rPr>
            <w:noProof/>
            <w:webHidden/>
          </w:rPr>
          <w:fldChar w:fldCharType="end"/>
        </w:r>
      </w:hyperlink>
    </w:p>
    <w:p w14:paraId="24F77849" w14:textId="2D23E05F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6" w:history="1">
        <w:r w:rsidR="00D270D8" w:rsidRPr="008662A1">
          <w:rPr>
            <w:rStyle w:val="a8"/>
            <w:noProof/>
          </w:rPr>
          <w:t>Висновки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21</w:t>
        </w:r>
        <w:r w:rsidR="00D270D8">
          <w:rPr>
            <w:noProof/>
            <w:webHidden/>
          </w:rPr>
          <w:fldChar w:fldCharType="end"/>
        </w:r>
      </w:hyperlink>
    </w:p>
    <w:p w14:paraId="44CE413E" w14:textId="5A769F92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7" w:history="1">
        <w:r w:rsidR="00D270D8" w:rsidRPr="008662A1">
          <w:rPr>
            <w:rStyle w:val="a8"/>
            <w:noProof/>
          </w:rPr>
          <w:t>Список використаних джерел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22</w:t>
        </w:r>
        <w:r w:rsidR="00D270D8">
          <w:rPr>
            <w:noProof/>
            <w:webHidden/>
          </w:rPr>
          <w:fldChar w:fldCharType="end"/>
        </w:r>
      </w:hyperlink>
    </w:p>
    <w:p w14:paraId="1A937B46" w14:textId="37A9C542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793174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793175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793176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793177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793178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793179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793180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793181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r>
        <w:rPr>
          <w:lang w:val="en-US"/>
        </w:rPr>
        <w:t>FeB</w:t>
      </w:r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r>
        <w:t>Haltlichtspiegel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Orion;</w:t>
      </w:r>
    </w:p>
    <w:p w14:paraId="7D82D9C6" w14:textId="7E78D28F" w:rsidR="000053A1" w:rsidRDefault="000053A1" w:rsidP="000053A1">
      <w:pPr>
        <w:ind w:firstLine="0"/>
      </w:pPr>
      <w:r>
        <w:t>Osram 64653 HLX ELC, 24 В, 250 Вт (Osram);</w:t>
      </w:r>
    </w:p>
    <w:p w14:paraId="31FCCB64" w14:textId="562E30F8" w:rsidR="00C10D4A" w:rsidRPr="000053A1" w:rsidRDefault="00C10D4A" w:rsidP="000053A1">
      <w:pPr>
        <w:ind w:firstLine="0"/>
      </w:pPr>
      <w:r>
        <w:t>General Electric</w:t>
      </w:r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r w:rsidR="00316825">
        <w:t>р</w:t>
      </w:r>
      <w:r w:rsidR="00316825" w:rsidRPr="00316825">
        <w:t>егулюване джерело живлення ITECH IT6332В</w:t>
      </w:r>
      <w:r w:rsidR="00316825">
        <w:t xml:space="preserve">, яке дозволяло встановити струм, що протікає через лампу з точністю до 1 мА.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мВт,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мВт,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00B385CF" w:rsidR="00FA4E5F" w:rsidRPr="00B26544" w:rsidRDefault="00C109B7" w:rsidP="00FA4E5F">
      <w:r>
        <w:t xml:space="preserve">Спектр випромінювання використаних ламп вимірювався за допомогою </w:t>
      </w:r>
      <w:r w:rsidR="00E23AAE">
        <w:t xml:space="preserve">спектрометра </w:t>
      </w:r>
      <w:r>
        <w:t>Д</w:t>
      </w:r>
      <w:r w:rsidR="00E23AAE">
        <w:t>ФС</w:t>
      </w:r>
      <w:r>
        <w:t xml:space="preserve">12 </w:t>
      </w:r>
      <w:r w:rsidR="00E23AAE">
        <w:t xml:space="preserve">(побудованого за принципом подвійного монохроматора) </w:t>
      </w:r>
      <w:r>
        <w:t>з використанням ФЕП40 з Пельт</w:t>
      </w:r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інтенсивностях.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40D6DC9F" w:rsidR="00086A29" w:rsidRPr="00323008" w:rsidRDefault="0037782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DA9CC0" wp14:editId="39D7ABCF">
                  <wp:extent cx="2880000" cy="2225455"/>
                  <wp:effectExtent l="0" t="0" r="0" b="3810"/>
                  <wp:docPr id="10361985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98582" name="Рисунок 10361985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>при різних інтегральних інтенсивностях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793182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r w:rsidRPr="00231E78">
        <w:rPr>
          <w:lang w:val="uk-UA"/>
        </w:rPr>
        <w:t xml:space="preserve">дифузійно-польового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r>
        <w:rPr>
          <w:lang w:val="uk-UA"/>
        </w:rPr>
        <w:t>а</w:t>
      </w:r>
      <w:r w:rsidRPr="00231E78">
        <w:rPr>
          <w:lang w:val="uk-UA"/>
        </w:rPr>
        <w:t>нтирекомбінаційний ізотипний</w:t>
      </w:r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>На фронтальній поверхні KСЕ були наявні також просвітлюючі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 xml:space="preserve">Схема КСЕ. 1 – фронтальний електрод (Al);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 xml:space="preserve">-Si);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(Al)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793183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793184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r w:rsidR="00B82E28">
        <w:rPr>
          <w:lang w:val="en-US"/>
        </w:rPr>
        <w:t>FeB</w:t>
      </w:r>
      <w:bookmarkEnd w:id="10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>язаними з домішковим залізом у монокристалічному кремнії</w:t>
      </w:r>
      <w:r w:rsidRPr="00166D40">
        <w:t xml:space="preserve">, </w:t>
      </w:r>
      <w:r>
        <w:t xml:space="preserve">легованому бором, є міжвузольні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r w:rsidR="001C3A47">
        <w:t xml:space="preserve"> суттєво залежатиме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r w:rsidRPr="00231E78">
        <w:rPr>
          <w:color w:val="000000"/>
          <w:szCs w:val="28"/>
        </w:rPr>
        <w:t>міжвузольних атомів заліза та парами FeB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2pt;height:55.8pt" o:ole="">
            <v:imagedata r:id="rId12" o:title=""/>
          </v:shape>
          <o:OLEObject Type="Embed" ProgID="Equation.3" ShapeID="_x0000_i1025" DrawAspect="Content" ObjectID="_1742733897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r w:rsidRPr="00231E78">
        <w:rPr>
          <w:color w:val="000000"/>
          <w:szCs w:val="28"/>
          <w:lang w:val="uk-UA"/>
        </w:rPr>
        <w:t xml:space="preserve">  та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8pt;height:44.4pt" o:ole="">
            <v:imagedata r:id="rId14" o:title=""/>
          </v:shape>
          <o:OLEObject Type="Embed" ProgID="Equation.DSMT4" ShapeID="_x0000_i1026" DrawAspect="Content" ObjectID="_1742733898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вимушуючого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1.6pt;height:25.8pt" o:ole="">
            <v:imagedata r:id="rId16" o:title=""/>
          </v:shape>
          <o:OLEObject Type="Embed" ProgID="Equation.DSMT4" ShapeID="_x0000_i1027" DrawAspect="Content" ObjectID="_1742733899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міжвузольних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5.2pt;height:20.4pt" o:ole="">
            <v:imagedata r:id="rId18" o:title=""/>
          </v:shape>
          <o:OLEObject Type="Embed" ProgID="Equation.DSMT4" ShapeID="_x0000_i1028" DrawAspect="Content" ObjectID="_1742733900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r>
        <w:rPr>
          <w:color w:val="000000"/>
          <w:szCs w:val="28"/>
          <w:lang w:val="en-US"/>
        </w:rPr>
        <w:t>FeB</w:t>
      </w:r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мВт,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мВт,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>400, 300 та 200 мВт</w:t>
      </w:r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галогенове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r w:rsidR="007F21B1">
        <w:rPr>
          <w:color w:val="000000"/>
          <w:szCs w:val="28"/>
          <w:lang w:val="en-US"/>
        </w:rPr>
        <w:t>FeB</w:t>
      </w:r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 xml:space="preserve">Вт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залізо-вмісних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На рис.3.1 наведено типові приклади ВАХ, виміряних через різні проміжки часу після закінчення високоінтенсивного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міжвузольного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r w:rsidR="002A5372">
        <w:rPr>
          <w:lang w:val="en-US"/>
        </w:rPr>
        <w:t>sc</w:t>
      </w:r>
      <w:r w:rsidR="002A5372" w:rsidRPr="002A5372">
        <w:t xml:space="preserve"> </w:t>
      </w:r>
      <w:r w:rsidR="002A5372">
        <w:t>після витримки КСЕ в темряві монотонно залежить від концентрації міжвузольних атомів заліза, утворених внаслідок світло-індукованої дисоціації</w:t>
      </w:r>
      <w:r w:rsidR="002A5372" w:rsidRPr="002A5372">
        <w:t xml:space="preserve"> </w:t>
      </w:r>
      <w:r w:rsidR="002A5372">
        <w:rPr>
          <w:lang w:val="en-US"/>
        </w:rPr>
        <w:t>FeB</w:t>
      </w:r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 xml:space="preserve">Залежності концентрації світло-дисоційованих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r w:rsidR="00F807FB">
        <w:rPr>
          <w:lang w:val="en-US"/>
        </w:rPr>
        <w:t>sram</w:t>
      </w:r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04C8529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lastRenderedPageBreak/>
        <w:tab/>
      </w:r>
      <w:r w:rsidRPr="00231E78">
        <w:rPr>
          <w:position w:val="-14"/>
        </w:rPr>
        <w:object w:dxaOrig="3940" w:dyaOrig="400" w14:anchorId="4FBA49EB">
          <v:shape id="_x0000_i1029" type="#_x0000_t75" style="width:195.6pt;height:19.8pt" o:ole="">
            <v:imagedata r:id="rId27" o:title=""/>
          </v:shape>
          <o:OLEObject Type="Embed" ProgID="Equation.DSMT4" ShapeID="_x0000_i1029" DrawAspect="Content" ObjectID="_1742733901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r w:rsidRPr="00231E78">
        <w:rPr>
          <w:lang w:val="uk-UA"/>
        </w:rPr>
        <w:t xml:space="preserve"> – концентрація дисоційованих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lastRenderedPageBreak/>
        <w:tab/>
      </w:r>
      <w:r w:rsidRPr="00A529C5">
        <w:rPr>
          <w:position w:val="-116"/>
        </w:rPr>
        <w:object w:dxaOrig="3000" w:dyaOrig="2060" w14:anchorId="3BB3A87A">
          <v:shape id="_x0000_i1030" type="#_x0000_t75" style="width:150pt;height:103.8pt" o:ole="">
            <v:imagedata r:id="rId29" o:title=""/>
          </v:shape>
          <o:OLEObject Type="Embed" ProgID="Equation.DSMT4" ShapeID="_x0000_i1030" DrawAspect="Content" ObjectID="_1742733902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3F053FF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домішкового заліза складає величину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bookmarkStart w:id="11" w:name="_Toc131793185"/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Fe-B </w:t>
      </w:r>
      <w:r>
        <w:rPr>
          <w:rFonts w:eastAsia="Times New Roman"/>
          <w:lang w:eastAsia="ru-RU"/>
        </w:rPr>
        <w:t>від спектрального складу освітлення</w:t>
      </w:r>
      <w:bookmarkEnd w:id="11"/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r>
        <w:rPr>
          <w:lang w:val="en-US"/>
        </w:rPr>
        <w:t>FeB</w:t>
      </w:r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31" type="#_x0000_t75" style="width:59.4pt;height:21pt" o:ole="">
            <v:imagedata r:id="rId31" o:title=""/>
          </v:shape>
          <o:OLEObject Type="Embed" ProgID="Equation.DSMT4" ShapeID="_x0000_i1031" DrawAspect="Content" ObjectID="_1742733903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двостадійність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>, що він може залежати від температури та наявності інших (окрім залізо-вмісних 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</w:t>
      </w:r>
      <w:r w:rsidR="003243E8">
        <w:rPr>
          <w:rFonts w:cs="Times New Roman"/>
        </w:rPr>
        <w:lastRenderedPageBreak/>
        <w:t xml:space="preserve">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32" type="#_x0000_t75" style="width:82.2pt;height:30pt" o:ole="">
            <v:imagedata r:id="rId33" o:title=""/>
          </v:shape>
          <o:OLEObject Type="Embed" ProgID="Equation.DSMT4" ShapeID="_x0000_i1032" DrawAspect="Content" ObjectID="_1742733904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33" type="#_x0000_t75" style="width:108.6pt;height:35.4pt" o:ole="">
            <v:imagedata r:id="rId35" o:title=""/>
          </v:shape>
          <o:OLEObject Type="Embed" ProgID="Equation.DSMT4" ShapeID="_x0000_i1033" DrawAspect="Content" ObjectID="_1742733905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0F748D2" w14:textId="10AF65E1" w:rsidR="008B4F0F" w:rsidRDefault="008B4F0F">
      <w:pPr>
        <w:rPr>
          <w:szCs w:val="28"/>
        </w:rPr>
      </w:pPr>
      <w:r>
        <w:t xml:space="preserve">На рис.3.4 наведено вигляд </w:t>
      </w:r>
      <w:r w:rsidRPr="008B4F0F">
        <w:t xml:space="preserve">спектральних залежностей </w:t>
      </w:r>
      <w:r w:rsidRPr="008B4F0F">
        <w:rPr>
          <w:i/>
          <w:iCs/>
          <w:szCs w:val="28"/>
        </w:rPr>
        <w:t>N</w:t>
      </w:r>
      <w:r w:rsidRPr="008B4F0F">
        <w:rPr>
          <w:szCs w:val="28"/>
          <w:vertAlign w:val="subscript"/>
        </w:rPr>
        <w:t>ph</w:t>
      </w:r>
      <w:r w:rsidRPr="008B4F0F">
        <w:rPr>
          <w:szCs w:val="28"/>
        </w:rPr>
        <w:t> (λ)</w:t>
      </w:r>
      <w:r>
        <w:rPr>
          <w:szCs w:val="28"/>
        </w:rPr>
        <w:t xml:space="preserve"> для різних джерел при однаковій загальній потужності випромінювання. Відмінність кривих свідчить про неоднаковий темп генерації носіїв за цих умов для різних ламп – результати відповідних розрахунків представлені на рис.3.5. Видно, що відмінності дійсно присутні, але абсолютні значення сумарної кількості фотонів для різних джерел освітлення при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t>=</w:t>
      </w:r>
      <w:r>
        <w:rPr>
          <w:lang w:val="en-US"/>
        </w:rPr>
        <w:t> const</w:t>
      </w:r>
      <w:r w:rsidRPr="00657D43">
        <w:t xml:space="preserve"> </w:t>
      </w:r>
      <w:r w:rsidRPr="008B4F0F">
        <w:t>не</w:t>
      </w:r>
      <w:r>
        <w:rPr>
          <w:szCs w:val="28"/>
        </w:rPr>
        <w:t xml:space="preserve"> перевищують</w:t>
      </w:r>
      <w:r w:rsidRPr="00657D43">
        <w:rPr>
          <w:szCs w:val="28"/>
        </w:rPr>
        <w:t xml:space="preserve"> 5%</w:t>
      </w:r>
      <w:r w:rsidR="00D066BC">
        <w:rPr>
          <w:szCs w:val="28"/>
        </w:rPr>
        <w:t xml:space="preserve">, причому величина </w:t>
      </w:r>
      <w:r w:rsidR="00D066BC">
        <w:rPr>
          <w:szCs w:val="28"/>
          <w:lang w:val="en-US"/>
        </w:rPr>
        <w:t>G</w:t>
      </w:r>
      <w:r w:rsidR="00D066BC">
        <w:rPr>
          <w:szCs w:val="28"/>
        </w:rPr>
        <w:t xml:space="preserve"> найбільша для </w:t>
      </w:r>
      <w:r w:rsidR="00D066BC">
        <w:rPr>
          <w:szCs w:val="28"/>
          <w:lang w:val="en-US"/>
        </w:rPr>
        <w:t>Orion</w:t>
      </w:r>
      <w:r w:rsidR="00D066BC">
        <w:rPr>
          <w:szCs w:val="28"/>
        </w:rPr>
        <w:t xml:space="preserve"> і найменша для </w:t>
      </w:r>
      <w:r w:rsidR="00D066BC">
        <w:rPr>
          <w:szCs w:val="28"/>
          <w:lang w:val="en-US"/>
        </w:rPr>
        <w:t>GE</w:t>
      </w:r>
      <w:r w:rsidR="00D066BC">
        <w:rPr>
          <w:szCs w:val="28"/>
        </w:rPr>
        <w:t xml:space="preserve">. </w:t>
      </w:r>
    </w:p>
    <w:p w14:paraId="53BBDD64" w14:textId="77777777" w:rsidR="00D066BC" w:rsidRPr="00D066BC" w:rsidRDefault="00D066B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B4F0F" w:rsidRPr="00323008" w14:paraId="58B5EF5B" w14:textId="77777777" w:rsidTr="009209A0">
        <w:tc>
          <w:tcPr>
            <w:tcW w:w="4868" w:type="dxa"/>
          </w:tcPr>
          <w:p w14:paraId="736BF110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F7B234A" wp14:editId="02057706">
                  <wp:extent cx="2880000" cy="2225455"/>
                  <wp:effectExtent l="0" t="0" r="0" b="3810"/>
                  <wp:docPr id="1756746904" name="Рисунок 1756746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0BF4AB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6B3C9F1" wp14:editId="5A56F533">
                  <wp:extent cx="2880000" cy="2225455"/>
                  <wp:effectExtent l="0" t="0" r="0" b="3810"/>
                  <wp:docPr id="165142050" name="Рисунок 16514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2A656908" w14:textId="77777777" w:rsidTr="009209A0">
        <w:tc>
          <w:tcPr>
            <w:tcW w:w="9736" w:type="dxa"/>
            <w:gridSpan w:val="2"/>
          </w:tcPr>
          <w:p w14:paraId="56AC487B" w14:textId="681D4E2E" w:rsidR="008B4F0F" w:rsidRPr="0039051D" w:rsidRDefault="008B4F0F" w:rsidP="009209A0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  <w:tr w:rsidR="008B4F0F" w:rsidRPr="00323008" w14:paraId="4518CA1B" w14:textId="77777777" w:rsidTr="009209A0">
        <w:tc>
          <w:tcPr>
            <w:tcW w:w="9736" w:type="dxa"/>
            <w:gridSpan w:val="2"/>
          </w:tcPr>
          <w:p w14:paraId="326E1B44" w14:textId="606CDA71" w:rsidR="008B4F0F" w:rsidRPr="00323008" w:rsidRDefault="00D066BC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B050A79" wp14:editId="7D875DDA">
                  <wp:extent cx="3600000" cy="2781818"/>
                  <wp:effectExtent l="0" t="0" r="635" b="0"/>
                  <wp:docPr id="9707534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3405" name="Рисунок 97075340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37FEC489" w14:textId="77777777" w:rsidTr="009209A0">
        <w:tc>
          <w:tcPr>
            <w:tcW w:w="9736" w:type="dxa"/>
            <w:gridSpan w:val="2"/>
          </w:tcPr>
          <w:p w14:paraId="630E55CF" w14:textId="7044C7A0" w:rsidR="008B4F0F" w:rsidRPr="00AD4736" w:rsidRDefault="008B4F0F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5</w:t>
            </w:r>
            <w:r w:rsidRPr="00AD4736">
              <w:t xml:space="preserve"> </w:t>
            </w:r>
            <w:r>
              <w:t>Залежності темпу генерації електронів від загальної потужності освітлення</w:t>
            </w:r>
            <w:r w:rsidR="00FE7F4B">
              <w:t xml:space="preserve"> для різних джерел</w:t>
            </w:r>
          </w:p>
        </w:tc>
      </w:tr>
    </w:tbl>
    <w:p w14:paraId="27238F8B" w14:textId="7D23A74A" w:rsidR="00D066BC" w:rsidRPr="00F166B0" w:rsidRDefault="00D066BC" w:rsidP="00D066BC">
      <w:r>
        <w:rPr>
          <w:szCs w:val="28"/>
        </w:rPr>
        <w:t xml:space="preserve">Водночас, в </w:t>
      </w:r>
      <w:r>
        <w:t xml:space="preserve">табл. 3.2 наведено дані щодо величин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, отриманих при проведенні експериментів з використанням різних джерел світла та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rPr>
          <w:lang w:val="ru-RU"/>
        </w:rPr>
        <w:t>=</w:t>
      </w:r>
      <w:r>
        <w:rPr>
          <w:lang w:val="en-US"/>
        </w:rPr>
        <w:t> </w:t>
      </w:r>
      <w:r>
        <w:t xml:space="preserve">400 мВт. Видно, що пропорційність між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 та </w:t>
      </w:r>
      <w:r>
        <w:rPr>
          <w:szCs w:val="28"/>
          <w:lang w:val="en-US"/>
        </w:rPr>
        <w:t>G</w:t>
      </w:r>
      <w:r>
        <w:rPr>
          <w:szCs w:val="28"/>
        </w:rPr>
        <w:t xml:space="preserve"> відсутня, а отже відмінності в значеннях </w:t>
      </w:r>
      <w:r>
        <w:rPr>
          <w:szCs w:val="28"/>
          <w:lang w:val="el-GR"/>
        </w:rPr>
        <w:t>τ</w:t>
      </w:r>
      <w:r w:rsidRPr="00D066BC">
        <w:rPr>
          <w:szCs w:val="28"/>
          <w:vertAlign w:val="subscript"/>
          <w:lang w:val="en-US"/>
        </w:rPr>
        <w:t>dis</w:t>
      </w:r>
      <w:r>
        <w:rPr>
          <w:szCs w:val="28"/>
        </w:rPr>
        <w:t xml:space="preserve"> (див. табл.3.1) не п</w:t>
      </w:r>
      <w:r w:rsidR="00F166B0">
        <w:rPr>
          <w:szCs w:val="28"/>
        </w:rPr>
        <w:t>ов</w:t>
      </w:r>
      <w:r w:rsidR="00F166B0" w:rsidRPr="00657D43">
        <w:rPr>
          <w:szCs w:val="28"/>
        </w:rPr>
        <w:t>’</w:t>
      </w:r>
      <w:r w:rsidR="00F166B0">
        <w:rPr>
          <w:szCs w:val="28"/>
        </w:rPr>
        <w:t xml:space="preserve">язані </w:t>
      </w:r>
      <w:r>
        <w:rPr>
          <w:szCs w:val="28"/>
        </w:rPr>
        <w:t xml:space="preserve">лише </w:t>
      </w:r>
      <w:r w:rsidR="00F166B0">
        <w:rPr>
          <w:szCs w:val="28"/>
        </w:rPr>
        <w:t xml:space="preserve">зі </w:t>
      </w:r>
      <w:r>
        <w:rPr>
          <w:szCs w:val="28"/>
        </w:rPr>
        <w:t>зміною загального числа фотонів при переході від лампи до лампи.</w:t>
      </w:r>
      <w:r w:rsidR="00F166B0">
        <w:rPr>
          <w:szCs w:val="28"/>
        </w:rPr>
        <w:t xml:space="preserve"> Фактично виявлені відхилення від загальновідомого виразу (3.6) можна пояснити, якщо припустити неоднаковість коефіцієнта </w:t>
      </w:r>
      <w:r w:rsidR="00F166B0">
        <w:rPr>
          <w:szCs w:val="28"/>
          <w:lang w:val="en-US"/>
        </w:rPr>
        <w:t>K</w:t>
      </w:r>
      <w:r w:rsidR="00F166B0">
        <w:rPr>
          <w:szCs w:val="28"/>
        </w:rPr>
        <w:t xml:space="preserve"> для різних джерел.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D066BC" w14:paraId="21F31A10" w14:textId="77777777" w:rsidTr="009209A0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1A469C9E" w14:textId="77777777" w:rsidR="00D066BC" w:rsidRDefault="00D066BC" w:rsidP="009209A0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D066BC" w14:paraId="45A9654E" w14:textId="77777777" w:rsidTr="009209A0">
        <w:tc>
          <w:tcPr>
            <w:tcW w:w="1800" w:type="dxa"/>
            <w:vMerge w:val="restart"/>
            <w:shd w:val="clear" w:color="auto" w:fill="auto"/>
            <w:vAlign w:val="center"/>
          </w:tcPr>
          <w:p w14:paraId="063BA84A" w14:textId="77777777" w:rsidR="00D066BC" w:rsidRPr="003E2DE4" w:rsidRDefault="00D066BC" w:rsidP="009209A0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39B3D582" w14:textId="77777777" w:rsidR="00D066BC" w:rsidRPr="003E2DE4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3129FA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3C84028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2F615FE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D066BC" w14:paraId="4CD63791" w14:textId="77777777" w:rsidTr="009209A0">
        <w:tc>
          <w:tcPr>
            <w:tcW w:w="1800" w:type="dxa"/>
            <w:vMerge/>
            <w:shd w:val="clear" w:color="auto" w:fill="auto"/>
            <w:vAlign w:val="center"/>
          </w:tcPr>
          <w:p w14:paraId="0EA03E4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3480D9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4E2D31B9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36D963CB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066BC" w14:paraId="0978888D" w14:textId="77777777" w:rsidTr="009209A0">
        <w:tc>
          <w:tcPr>
            <w:tcW w:w="1800" w:type="dxa"/>
            <w:shd w:val="clear" w:color="auto" w:fill="auto"/>
            <w:vAlign w:val="center"/>
          </w:tcPr>
          <w:p w14:paraId="511E80D4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A4125F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05A9CF2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F43C17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560B12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D066BC" w14:paraId="5CBE9AFC" w14:textId="77777777" w:rsidTr="009209A0">
        <w:tc>
          <w:tcPr>
            <w:tcW w:w="1800" w:type="dxa"/>
            <w:shd w:val="clear" w:color="auto" w:fill="auto"/>
            <w:vAlign w:val="center"/>
          </w:tcPr>
          <w:p w14:paraId="701B2DDC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DBB4A4E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1E761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CA43AF3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3764EED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D066BC" w14:paraId="3C9E1124" w14:textId="77777777" w:rsidTr="009209A0">
        <w:tc>
          <w:tcPr>
            <w:tcW w:w="1800" w:type="dxa"/>
            <w:shd w:val="clear" w:color="auto" w:fill="auto"/>
            <w:vAlign w:val="center"/>
          </w:tcPr>
          <w:p w14:paraId="174C9AED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0E046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705EBC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9329FD5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62AA23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70460E8" w14:textId="77777777" w:rsidR="00D066BC" w:rsidRDefault="00D066BC" w:rsidP="00D066BC"/>
    <w:p w14:paraId="2C40E714" w14:textId="34C18E69" w:rsidR="00970BD7" w:rsidRPr="00657D43" w:rsidRDefault="00FE7F4B">
      <w:pPr>
        <w:rPr>
          <w:lang w:val="ru-RU"/>
        </w:rPr>
      </w:pPr>
      <w:r>
        <w:t>На рис. 3.6 наведено о</w:t>
      </w:r>
      <w:r w:rsidR="0040053F">
        <w:t xml:space="preserve">тримані залежності </w:t>
      </w:r>
      <w:r w:rsidR="0040053F">
        <w:rPr>
          <w:lang w:val="en-US"/>
        </w:rPr>
        <w:t>R</w:t>
      </w:r>
      <w:r w:rsidR="0040053F" w:rsidRPr="0040053F">
        <w:rPr>
          <w:vertAlign w:val="subscript"/>
          <w:lang w:val="en-US"/>
        </w:rPr>
        <w:t>d</w:t>
      </w:r>
      <w:r w:rsidR="0040053F">
        <w:rPr>
          <w:lang w:val="en-US"/>
        </w:rPr>
        <w:t> </w:t>
      </w:r>
      <w:r w:rsidR="0040053F" w:rsidRPr="0040053F">
        <w:rPr>
          <w:lang w:val="ru-RU"/>
        </w:rPr>
        <w:t>(</w:t>
      </w:r>
      <w:r w:rsidR="0040053F">
        <w:rPr>
          <w:lang w:val="en-US"/>
        </w:rPr>
        <w:t>G</w:t>
      </w:r>
      <w:r w:rsidR="0040053F" w:rsidRPr="0040053F">
        <w:rPr>
          <w:lang w:val="ru-RU"/>
        </w:rPr>
        <w:t>)</w:t>
      </w:r>
      <w:r w:rsidR="0040053F">
        <w:t xml:space="preserve"> в логарифмічному масштабі. </w:t>
      </w:r>
      <w:r w:rsidR="00B70D86">
        <w:t>Як видно з представлених даних, залежності лінійні, що свідчить про дійсну показникову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>Проте, як показують проведені дослідження, точна величина показника ступеня, як і коефіцієнта пропорційності</w:t>
      </w:r>
      <w:r>
        <w:t>, що також наведені в табл.3.2,</w:t>
      </w:r>
      <w:r w:rsidR="006623E3">
        <w:t xml:space="preserve"> залежать від використаного джерела </w:t>
      </w:r>
      <w:r w:rsidR="006623E3">
        <w:lastRenderedPageBreak/>
        <w:t xml:space="preserve">світла. </w:t>
      </w:r>
      <w:r>
        <w:t xml:space="preserve">В свою чергу, це означає, що до уваги необхідно брати не лише кількість фото-утворених надлишкових носіїв заряду, але й енергії фотонів, які призводять до їхньої появи. Для подібної енергетичної характеризації ламп ми використали величину середньої енергії фотону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33135146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="00F166B0">
              <w:t>6</w:t>
            </w:r>
            <w:r w:rsidRPr="00AD4736">
              <w:t xml:space="preserve"> </w:t>
            </w:r>
            <w:r w:rsidR="00AD4736">
              <w:t xml:space="preserve">Залежність темпу дисоціацій пар </w:t>
            </w:r>
            <w:r w:rsidR="00AD4736">
              <w:rPr>
                <w:lang w:val="en-US"/>
              </w:rPr>
              <w:t>FeB</w:t>
            </w:r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76E8197E" w14:textId="77777777" w:rsidR="00FE7F4B" w:rsidRPr="00231E78" w:rsidRDefault="00FE7F4B" w:rsidP="00FE7F4B">
      <w:pPr>
        <w:pStyle w:val="ab"/>
      </w:pPr>
      <w:r w:rsidRPr="00231E78">
        <w:tab/>
      </w:r>
      <w:r w:rsidRPr="0083046B">
        <w:rPr>
          <w:position w:val="-54"/>
        </w:rPr>
        <w:object w:dxaOrig="2600" w:dyaOrig="1340" w14:anchorId="77724C5A">
          <v:shape id="_x0000_i1034" type="#_x0000_t75" style="width:129.6pt;height:65.4pt" o:ole="">
            <v:imagedata r:id="rId41" o:title=""/>
          </v:shape>
          <o:OLEObject Type="Embed" ProgID="Equation.DSMT4" ShapeID="_x0000_i1034" DrawAspect="Content" ObjectID="_1742733906" r:id="rId42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0FBEEBF4" w14:textId="01453E21" w:rsidR="00FE7F4B" w:rsidRPr="001303DE" w:rsidRDefault="001303DE" w:rsidP="00FE7F4B">
      <w:pPr>
        <w:ind w:firstLine="0"/>
      </w:pPr>
      <w:r>
        <w:t xml:space="preserve">Зауважимо, що при збільшенні </w:t>
      </w:r>
      <w:r>
        <w:rPr>
          <w:lang w:val="en-US"/>
        </w:rPr>
        <w:t>Will</w:t>
      </w:r>
      <w:r>
        <w:t xml:space="preserve"> відбувається зміщення спектру випромінювання ламп у короткохвильову область – див. рис.2.4б та рис.3.4.б</w:t>
      </w:r>
      <w:r w:rsidR="00377829">
        <w:t xml:space="preserve">, а отже і зміна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. Узагальнення результатів щодо величин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 зроблено на</w:t>
      </w:r>
      <w:r w:rsidR="00FE7F4B">
        <w:t xml:space="preserve"> рис. 3.7</w:t>
      </w:r>
      <w:r w:rsidR="00377829">
        <w:t xml:space="preserve">. Порівнюючи дані на цьому рисунку, а також наведені в табл.3.1 та 3.2, можна зробити однозначний висновок, що зі збільшенням енергії фотонів процес світло-індукованої дисоціації пар </w:t>
      </w:r>
      <w:r w:rsidR="00377829">
        <w:rPr>
          <w:lang w:val="en-US"/>
        </w:rPr>
        <w:t>FeB</w:t>
      </w:r>
      <w:r w:rsidR="00377829">
        <w:t xml:space="preserve"> інтенсифікується: значення коефіцієнту К зростає, темп дисоціації </w:t>
      </w:r>
      <w:r w:rsidR="00377829">
        <w:rPr>
          <w:lang w:val="en-US"/>
        </w:rPr>
        <w:t>Rd</w:t>
      </w:r>
      <w:r w:rsidR="00377829">
        <w:t xml:space="preserve"> збільшується</w:t>
      </w:r>
      <w:r w:rsidR="00377829" w:rsidRPr="00657D43">
        <w:t xml:space="preserve">, </w:t>
      </w:r>
      <w:r w:rsidR="00377829">
        <w:t xml:space="preserve">і, відповідно, зменшується час освітлення, необхідний для повного розбиття </w:t>
      </w:r>
      <w:r w:rsidR="00C76737">
        <w:t>дефектних комплексів.</w:t>
      </w:r>
      <w:r w:rsidR="00801898">
        <w:t xml:space="preserve"> </w:t>
      </w:r>
      <w:r w:rsidR="006574D1">
        <w:t>Іншими словами, важливою для розпаду пари є і частка енергії, яка витрачається під час термолізації нерівноважних носіїв.</w:t>
      </w:r>
    </w:p>
    <w:p w14:paraId="311915D2" w14:textId="0A554738" w:rsidR="00C76737" w:rsidRPr="00C76737" w:rsidRDefault="00C7673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166B0" w:rsidRPr="00323008" w14:paraId="333732D4" w14:textId="77777777" w:rsidTr="009209A0">
        <w:tc>
          <w:tcPr>
            <w:tcW w:w="9736" w:type="dxa"/>
          </w:tcPr>
          <w:p w14:paraId="57780A7D" w14:textId="3AB4A4DD" w:rsidR="00F166B0" w:rsidRPr="00323008" w:rsidRDefault="00FE7F4B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F25986A" wp14:editId="7819D923">
                  <wp:extent cx="3600000" cy="2781818"/>
                  <wp:effectExtent l="0" t="0" r="635" b="0"/>
                  <wp:docPr id="30036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61619" name="Рисунок 3003616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B0" w:rsidRPr="00323008" w14:paraId="5E7EC693" w14:textId="77777777" w:rsidTr="009209A0">
        <w:tc>
          <w:tcPr>
            <w:tcW w:w="9736" w:type="dxa"/>
          </w:tcPr>
          <w:p w14:paraId="67A5CB8D" w14:textId="1548FC6E" w:rsidR="00F166B0" w:rsidRPr="00AD4736" w:rsidRDefault="00F166B0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7</w:t>
            </w:r>
            <w:r w:rsidRPr="00AD4736">
              <w:t xml:space="preserve"> </w:t>
            </w:r>
            <w:r w:rsidR="00FE7F4B">
              <w:t>Залежності середньої енергії фотонів для різних джерел</w:t>
            </w:r>
          </w:p>
        </w:tc>
      </w:tr>
    </w:tbl>
    <w:p w14:paraId="5FCF525E" w14:textId="29E10D9A" w:rsidR="005E0543" w:rsidRPr="00752D05" w:rsidRDefault="006574D1">
      <w:r>
        <w:t xml:space="preserve">З рис.3.7 також видно, що збільшення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</w:t>
      </w:r>
      <w:r>
        <w:t xml:space="preserve"> при зростанні інтегральної потужності освітлення для різних джерел не однакове. На нашу думку, саме це є причиною виявлених відмінностей величин показника ступеня </w:t>
      </w:r>
      <w:r w:rsidRPr="00EF2D31">
        <w:rPr>
          <w:i/>
          <w:iCs/>
          <w:lang w:val="en-US"/>
        </w:rPr>
        <w:t>m</w:t>
      </w:r>
      <w:r w:rsidR="009C01CF">
        <w:t>. А саме,</w:t>
      </w:r>
      <w:r>
        <w:t xml:space="preserve"> у випадку</w:t>
      </w:r>
      <w:r w:rsidR="009C01CF">
        <w:t xml:space="preserve"> незалежності </w:t>
      </w:r>
      <w:r>
        <w:t>спектральн</w:t>
      </w:r>
      <w:r w:rsidR="009C01CF">
        <w:t>ого</w:t>
      </w:r>
      <w:r>
        <w:t xml:space="preserve"> склад</w:t>
      </w:r>
      <w:r w:rsidR="009C01CF">
        <w:t>у</w:t>
      </w:r>
      <w:r>
        <w:t xml:space="preserve"> </w:t>
      </w:r>
      <w:r w:rsidR="009C01CF">
        <w:t xml:space="preserve">опромінення від загального потоку мало б бути </w:t>
      </w:r>
      <w:r w:rsidR="009C01CF" w:rsidRPr="009C01CF">
        <w:rPr>
          <w:i/>
          <w:iCs/>
          <w:lang w:val="en-US"/>
        </w:rPr>
        <w:t>m</w:t>
      </w:r>
      <w:r w:rsidR="009C01CF">
        <w:t> </w:t>
      </w:r>
      <w:r w:rsidR="009C01CF" w:rsidRPr="00657D43">
        <w:rPr>
          <w:lang w:val="ru-RU"/>
        </w:rPr>
        <w:t>=</w:t>
      </w:r>
      <w:r w:rsidR="009C01CF">
        <w:t> </w:t>
      </w:r>
      <w:r w:rsidR="009C01CF" w:rsidRPr="00657D43">
        <w:rPr>
          <w:lang w:val="ru-RU"/>
        </w:rPr>
        <w:t>2</w:t>
      </w:r>
      <w:r w:rsidR="009C01CF">
        <w:t xml:space="preserve">. </w:t>
      </w:r>
      <w:r w:rsidR="008B007B">
        <w:t>Проте зміна співвідношень кількостей фотонів, які мають різну енергію, а отже і відмін</w:t>
      </w:r>
      <w:r w:rsidR="00E32A1E">
        <w:t>н</w:t>
      </w:r>
      <w:r w:rsidR="008B007B">
        <w:t xml:space="preserve">у здатність сприяти розпаду комплексу, стає причиною відхилення від квадратичного закону зміни темпу дисоціації. </w:t>
      </w:r>
      <w:r w:rsidR="00E32A1E">
        <w:t xml:space="preserve">Як свідчать отримані результати, якщо зростання </w:t>
      </w:r>
      <w:r w:rsidR="00E32A1E" w:rsidRPr="00657D43">
        <w:t>&lt;</w:t>
      </w:r>
      <w:r w:rsidR="00E32A1E">
        <w:rPr>
          <w:lang w:val="en-US"/>
        </w:rPr>
        <w:t>E</w:t>
      </w:r>
      <w:r w:rsidR="00E32A1E" w:rsidRPr="00FE7F4B">
        <w:rPr>
          <w:vertAlign w:val="subscript"/>
          <w:lang w:val="en-US"/>
        </w:rPr>
        <w:t>ph</w:t>
      </w:r>
      <w:r w:rsidR="00E32A1E" w:rsidRPr="00657D43">
        <w:t>&gt;</w:t>
      </w:r>
      <w:r w:rsidR="00752D05">
        <w:t xml:space="preserve"> при збільшенні </w:t>
      </w:r>
      <w:r w:rsidR="00752D05">
        <w:rPr>
          <w:lang w:val="en-US"/>
        </w:rPr>
        <w:t>G</w:t>
      </w:r>
      <w:r w:rsidR="00752D05">
        <w:t xml:space="preserve"> повільніше, ніж лінійне, то це спричинює зменшення </w:t>
      </w:r>
      <w:r w:rsidR="00752D05" w:rsidRPr="00752D05">
        <w:rPr>
          <w:i/>
          <w:iCs/>
          <w:lang w:val="en-US"/>
        </w:rPr>
        <w:t>m</w:t>
      </w:r>
      <w:r w:rsidR="00752D05">
        <w:t xml:space="preserve"> – див. результати для </w:t>
      </w:r>
      <w:r w:rsidR="00752D05">
        <w:rPr>
          <w:lang w:val="en-US"/>
        </w:rPr>
        <w:t>Osram</w:t>
      </w:r>
      <w:r w:rsidR="00752D05">
        <w:t>.</w:t>
      </w:r>
    </w:p>
    <w:p w14:paraId="75AADF04" w14:textId="206E7561" w:rsidR="00657D43" w:rsidRPr="005C346E" w:rsidRDefault="00657D43" w:rsidP="00657D43">
      <w:r>
        <w:t>Отримані результати дозволяють також зробити певні висновки і безпосередньо про механізм дисоціації комплексу. Стійкість комплексу без зовнішнього впливу визначається кулонівським притяганням між додатно-зарядженим міжвузольним атомом заліза та заміщуючим легуючим від</w:t>
      </w:r>
      <w:r w:rsidRPr="00657D43">
        <w:t>’</w:t>
      </w:r>
      <w:r>
        <w:t xml:space="preserve">ємно зарядженим атомом бору. Процес розпаду внаслідок освітлення, як вже зазначалося раніше, є двостадійним </w:t>
      </w:r>
      <w:r w:rsidRPr="00231E78">
        <w:rPr>
          <w:color w:val="000000"/>
          <w:szCs w:val="28"/>
        </w:rPr>
        <w:t>[</w:t>
      </w:r>
      <w:r>
        <w:rPr>
          <w:color w:val="000000"/>
          <w:szCs w:val="28"/>
        </w:rPr>
        <w:t>2</w:t>
      </w:r>
      <w:r w:rsidRPr="00231E78">
        <w:rPr>
          <w:color w:val="000000"/>
          <w:szCs w:val="28"/>
        </w:rPr>
        <w:t>,</w:t>
      </w:r>
      <w:r>
        <w:rPr>
          <w:color w:val="000000"/>
          <w:szCs w:val="28"/>
        </w:rPr>
        <w:t>6</w:t>
      </w:r>
      <w:r w:rsidRPr="00231E78">
        <w:rPr>
          <w:color w:val="000000"/>
          <w:szCs w:val="28"/>
        </w:rPr>
        <w:t>]</w:t>
      </w:r>
      <w:r>
        <w:t xml:space="preserve">. Вважається цілком визначеним, що перший етап полягає у захоплені іоном заліза електрону, </w:t>
      </w:r>
      <w:r w:rsidRPr="00231E78">
        <w:rPr>
          <w:color w:val="000000"/>
          <w:szCs w:val="28"/>
        </w:rPr>
        <w:t>що з’явився внаслідок поглинання фотону</w:t>
      </w:r>
      <w:r w:rsidR="00245202">
        <w:rPr>
          <w:color w:val="000000"/>
          <w:szCs w:val="28"/>
        </w:rPr>
        <w:t>; в результаті кулонівське притягання щезає. На другому етапі відбувається подолання дифузійного бар</w:t>
      </w:r>
      <w:r w:rsidR="00245202" w:rsidRPr="00245202">
        <w:rPr>
          <w:color w:val="000000"/>
          <w:szCs w:val="28"/>
          <w:lang w:val="ru-RU"/>
        </w:rPr>
        <w:t>’</w:t>
      </w:r>
      <w:r w:rsidR="00245202">
        <w:rPr>
          <w:color w:val="000000"/>
          <w:szCs w:val="28"/>
        </w:rPr>
        <w:t xml:space="preserve">єру та просторове розділення домішкових атомів. Проте в літературі вказується, що існує дві можливості реалізації цього етапу внаслідок захоплення </w:t>
      </w:r>
      <w:r w:rsidR="00245202">
        <w:rPr>
          <w:color w:val="000000"/>
          <w:szCs w:val="28"/>
        </w:rPr>
        <w:lastRenderedPageBreak/>
        <w:t>другого нерівноважного електрону. За першою версією цей другий електрон також захоплюється атомом заліза, перетворюючи його на від</w:t>
      </w:r>
      <w:r w:rsidR="00245202" w:rsidRPr="00245202">
        <w:rPr>
          <w:color w:val="000000"/>
          <w:szCs w:val="28"/>
        </w:rPr>
        <w:t>’</w:t>
      </w:r>
      <w:r w:rsidR="00245202">
        <w:rPr>
          <w:color w:val="000000"/>
          <w:szCs w:val="28"/>
        </w:rPr>
        <w:t xml:space="preserve">ємно заряджений іон, який починає дифундувати внаслідок кулонівського відштовхування від </w:t>
      </w:r>
      <w:r w:rsidR="00245202" w:rsidRPr="00245202">
        <w:rPr>
          <w:color w:val="000000"/>
          <w:position w:val="-12"/>
          <w:szCs w:val="28"/>
        </w:rPr>
        <w:object w:dxaOrig="320" w:dyaOrig="420" w14:anchorId="5F323D8D">
          <v:shape id="_x0000_i1035" type="#_x0000_t75" style="width:16.2pt;height:21pt" o:ole="">
            <v:imagedata r:id="rId44" o:title=""/>
          </v:shape>
          <o:OLEObject Type="Embed" ProgID="Equation.DSMT4" ShapeID="_x0000_i1035" DrawAspect="Content" ObjectID="_1742733907" r:id="rId45"/>
        </w:object>
      </w:r>
      <w:r w:rsidR="00245202" w:rsidRPr="00245202">
        <w:rPr>
          <w:color w:val="000000"/>
          <w:szCs w:val="28"/>
        </w:rPr>
        <w:t>.</w:t>
      </w:r>
      <w:r w:rsidR="00973C6B" w:rsidRPr="00973C6B">
        <w:rPr>
          <w:color w:val="000000"/>
          <w:szCs w:val="28"/>
        </w:rPr>
        <w:t xml:space="preserve"> </w:t>
      </w:r>
      <w:r w:rsidR="00973C6B">
        <w:rPr>
          <w:color w:val="000000"/>
          <w:szCs w:val="28"/>
        </w:rPr>
        <w:t>Другий варіант передбачає, що джерелом енергії для полегшення подолання дифузійного бар</w:t>
      </w:r>
      <w:r w:rsidR="00973C6B" w:rsidRPr="00973C6B">
        <w:rPr>
          <w:color w:val="000000"/>
          <w:szCs w:val="28"/>
        </w:rPr>
        <w:t>’</w:t>
      </w:r>
      <w:r w:rsidR="00973C6B">
        <w:rPr>
          <w:color w:val="000000"/>
          <w:szCs w:val="28"/>
        </w:rPr>
        <w:t>єру є фонони, які з</w:t>
      </w:r>
      <w:r w:rsidR="00973C6B" w:rsidRPr="00973C6B">
        <w:rPr>
          <w:color w:val="000000"/>
          <w:szCs w:val="28"/>
        </w:rPr>
        <w:t>’</w:t>
      </w:r>
      <w:r w:rsidR="00C2331E">
        <w:rPr>
          <w:color w:val="000000"/>
          <w:szCs w:val="28"/>
        </w:rPr>
        <w:t>я</w:t>
      </w:r>
      <w:r w:rsidR="00973C6B">
        <w:rPr>
          <w:color w:val="000000"/>
          <w:szCs w:val="28"/>
        </w:rPr>
        <w:t xml:space="preserve">вляються внаслідок безвипромінювальної рекомбінації електрона </w:t>
      </w:r>
      <w:r w:rsidR="00F70C1F">
        <w:rPr>
          <w:color w:val="000000"/>
          <w:szCs w:val="28"/>
        </w:rPr>
        <w:t xml:space="preserve">з діркою. Цей </w:t>
      </w:r>
      <w:r w:rsidR="00F70C1F" w:rsidRPr="00231E78">
        <w:rPr>
          <w:color w:val="000000"/>
          <w:szCs w:val="28"/>
        </w:rPr>
        <w:t>варіант відомий [</w:t>
      </w:r>
      <w:r w:rsidR="00F70C1F">
        <w:rPr>
          <w:color w:val="000000"/>
          <w:szCs w:val="28"/>
        </w:rPr>
        <w:t>6</w:t>
      </w:r>
      <w:r w:rsidR="00F70C1F" w:rsidRPr="00231E78">
        <w:rPr>
          <w:color w:val="000000"/>
          <w:szCs w:val="28"/>
        </w:rPr>
        <w:t>] як рекомбінаційно-підсилена реакція дефектів (REDR-процес),</w:t>
      </w:r>
      <w:r w:rsidR="00F70C1F">
        <w:rPr>
          <w:color w:val="000000"/>
          <w:szCs w:val="28"/>
        </w:rPr>
        <w:t xml:space="preserve"> причиною якої є </w:t>
      </w:r>
      <w:r w:rsidR="00F70C1F" w:rsidRPr="00231E78">
        <w:rPr>
          <w:color w:val="000000"/>
          <w:szCs w:val="28"/>
        </w:rPr>
        <w:t>сильна електрон-граткова взаємодія в околі порушення періодичності.</w:t>
      </w:r>
      <w:r w:rsidR="00C2331E">
        <w:rPr>
          <w:color w:val="000000"/>
          <w:szCs w:val="28"/>
        </w:rPr>
        <w:t xml:space="preserve"> Як відомо, ефект перезарядки та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 мають фундаментально різний вплив на процеси перетворення залізо-вмісних комплексів, так як в першому випадку змінюється концентрація іонів заліза, а в другому швидкість реакції не міняється </w:t>
      </w:r>
      <w:r w:rsidR="00C2331E" w:rsidRPr="00C2331E">
        <w:rPr>
          <w:color w:val="000000"/>
          <w:szCs w:val="28"/>
        </w:rPr>
        <w:t>[6]</w:t>
      </w:r>
      <w:r w:rsidR="00C2331E">
        <w:rPr>
          <w:color w:val="000000"/>
          <w:szCs w:val="28"/>
        </w:rPr>
        <w:t xml:space="preserve">. Виявлена в роботі залежність від енергії фотона свідчить на користь саме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у як можливого учасника дисоціативної реакції: при збільшенні енергії фотона зростає кількість нерівноважних фононів, утворених під час термолізації; якщо ж при цьому зростає величина </w:t>
      </w:r>
      <w:r w:rsidR="00C2331E">
        <w:rPr>
          <w:color w:val="000000"/>
          <w:szCs w:val="28"/>
          <w:lang w:val="en-US"/>
        </w:rPr>
        <w:t>R</w:t>
      </w:r>
      <w:r w:rsidR="00C2331E" w:rsidRPr="00C2331E">
        <w:rPr>
          <w:color w:val="000000"/>
          <w:szCs w:val="28"/>
          <w:vertAlign w:val="subscript"/>
          <w:lang w:val="en-US"/>
        </w:rPr>
        <w:t>d</w:t>
      </w:r>
      <w:r w:rsidR="00C2331E">
        <w:rPr>
          <w:color w:val="000000"/>
          <w:szCs w:val="28"/>
        </w:rPr>
        <w:t xml:space="preserve"> (як виявлено на експерименті), то це означає, що </w:t>
      </w:r>
      <w:r w:rsidR="005C346E">
        <w:rPr>
          <w:color w:val="000000"/>
          <w:szCs w:val="28"/>
        </w:rPr>
        <w:t xml:space="preserve">ці квазічастинки активно приймають участь у розпаді пари </w:t>
      </w:r>
      <w:r w:rsidR="005C346E">
        <w:rPr>
          <w:color w:val="000000"/>
          <w:szCs w:val="28"/>
          <w:lang w:val="en-US"/>
        </w:rPr>
        <w:t>FeB</w:t>
      </w:r>
      <w:r w:rsidR="005C346E" w:rsidRPr="005C346E">
        <w:rPr>
          <w:color w:val="000000"/>
          <w:szCs w:val="28"/>
        </w:rPr>
        <w:t>.</w:t>
      </w:r>
    </w:p>
    <w:p w14:paraId="713796E0" w14:textId="3BB89D34" w:rsidR="0039051D" w:rsidRDefault="006574D1">
      <w:r>
        <w:t xml:space="preserve">Зауважимо, що автори нещодавно опублікованої роботи </w:t>
      </w:r>
      <w:r w:rsidR="009C01CF" w:rsidRPr="00657D43">
        <w:t xml:space="preserve">[9] </w:t>
      </w:r>
      <w:r w:rsidR="009C01CF">
        <w:t xml:space="preserve">спираючись на результати детального вивчення динаміки реакцій дисоціації та асоціації комплексу залізо-бор </w:t>
      </w:r>
      <w:r>
        <w:t xml:space="preserve">також дійшли </w:t>
      </w:r>
      <w:r w:rsidR="009C01CF">
        <w:t xml:space="preserve">до висновку про домінуючу роль </w:t>
      </w:r>
      <w:r w:rsidR="009C01CF" w:rsidRPr="00231E78">
        <w:rPr>
          <w:color w:val="000000"/>
          <w:szCs w:val="28"/>
        </w:rPr>
        <w:t>REDR-процес</w:t>
      </w:r>
      <w:r w:rsidR="009C01CF">
        <w:rPr>
          <w:color w:val="000000"/>
          <w:szCs w:val="28"/>
        </w:rPr>
        <w:t>ів.</w:t>
      </w:r>
    </w:p>
    <w:p w14:paraId="4D79F547" w14:textId="77777777" w:rsidR="003A5992" w:rsidRDefault="003A5992"/>
    <w:p w14:paraId="521F5029" w14:textId="77777777" w:rsidR="009C01CF" w:rsidRDefault="009C01CF"/>
    <w:p w14:paraId="0C8E46C8" w14:textId="77777777" w:rsidR="009C01CF" w:rsidRDefault="009C01CF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2" w:name="_Toc131793186"/>
      <w:r w:rsidRPr="00323008">
        <w:lastRenderedPageBreak/>
        <w:t>Висновки</w:t>
      </w:r>
      <w:bookmarkEnd w:id="12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r w:rsidR="0083046B">
        <w:rPr>
          <w:lang w:val="en-US"/>
        </w:rPr>
        <w:t>FeB</w:t>
      </w:r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перебудової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7333F983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 xml:space="preserve">більш ймовірною причиною другої стадії розпаду пари </w:t>
      </w:r>
      <w:r w:rsidR="00656D95">
        <w:rPr>
          <w:szCs w:val="28"/>
          <w:lang w:val="en-US"/>
        </w:rPr>
        <w:t>FeB</w:t>
      </w:r>
      <w:r w:rsidR="00656D95">
        <w:rPr>
          <w:szCs w:val="28"/>
        </w:rPr>
        <w:t xml:space="preserve"> є рекомбінаційно-підсилені процеси, а не </w:t>
      </w:r>
      <w:r w:rsidR="00C2331E">
        <w:rPr>
          <w:szCs w:val="28"/>
        </w:rPr>
        <w:t>перезарядка</w:t>
      </w:r>
      <w:r w:rsidR="00656D95">
        <w:rPr>
          <w:szCs w:val="28"/>
        </w:rPr>
        <w:t xml:space="preserve">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3" w:name="_Toc131793187"/>
      <w:r w:rsidRPr="00323008">
        <w:lastRenderedPageBreak/>
        <w:t>Список використаних джерел</w:t>
      </w:r>
      <w:bookmarkEnd w:id="13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7B920" w14:textId="77777777" w:rsidR="002338F6" w:rsidRDefault="002338F6" w:rsidP="006B3820">
      <w:pPr>
        <w:spacing w:line="240" w:lineRule="auto"/>
      </w:pPr>
      <w:r>
        <w:separator/>
      </w:r>
    </w:p>
  </w:endnote>
  <w:endnote w:type="continuationSeparator" w:id="0">
    <w:p w14:paraId="15D98F47" w14:textId="77777777" w:rsidR="002338F6" w:rsidRDefault="002338F6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2CEE1" w14:textId="77777777" w:rsidR="002338F6" w:rsidRDefault="002338F6" w:rsidP="006B3820">
      <w:pPr>
        <w:spacing w:line="240" w:lineRule="auto"/>
      </w:pPr>
      <w:r>
        <w:separator/>
      </w:r>
    </w:p>
  </w:footnote>
  <w:footnote w:type="continuationSeparator" w:id="0">
    <w:p w14:paraId="71710700" w14:textId="77777777" w:rsidR="002338F6" w:rsidRDefault="002338F6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762B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0E4D31"/>
    <w:rsid w:val="0011657E"/>
    <w:rsid w:val="00117346"/>
    <w:rsid w:val="00122E66"/>
    <w:rsid w:val="001303DE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338F6"/>
    <w:rsid w:val="00245202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5473C"/>
    <w:rsid w:val="00357165"/>
    <w:rsid w:val="00362BED"/>
    <w:rsid w:val="003737F5"/>
    <w:rsid w:val="00377829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C346E"/>
    <w:rsid w:val="005D4246"/>
    <w:rsid w:val="005E02F1"/>
    <w:rsid w:val="005E0543"/>
    <w:rsid w:val="005E342B"/>
    <w:rsid w:val="005E4B11"/>
    <w:rsid w:val="00622D0E"/>
    <w:rsid w:val="00624D43"/>
    <w:rsid w:val="00656D95"/>
    <w:rsid w:val="006574D1"/>
    <w:rsid w:val="00657D43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52D05"/>
    <w:rsid w:val="00766A53"/>
    <w:rsid w:val="0076797A"/>
    <w:rsid w:val="00776E8D"/>
    <w:rsid w:val="00777FD1"/>
    <w:rsid w:val="00784720"/>
    <w:rsid w:val="007904A8"/>
    <w:rsid w:val="00795CD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01898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B007B"/>
    <w:rsid w:val="008B4F0F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3C6B"/>
    <w:rsid w:val="009744D8"/>
    <w:rsid w:val="00985542"/>
    <w:rsid w:val="0099314C"/>
    <w:rsid w:val="00994134"/>
    <w:rsid w:val="00995AAC"/>
    <w:rsid w:val="009B0444"/>
    <w:rsid w:val="009C01CF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17F18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2331E"/>
    <w:rsid w:val="00C30544"/>
    <w:rsid w:val="00C52CF7"/>
    <w:rsid w:val="00C56E32"/>
    <w:rsid w:val="00C7101F"/>
    <w:rsid w:val="00C72A6B"/>
    <w:rsid w:val="00C76737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066BC"/>
    <w:rsid w:val="00D17D2C"/>
    <w:rsid w:val="00D23824"/>
    <w:rsid w:val="00D270D8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1166"/>
    <w:rsid w:val="00DE25CB"/>
    <w:rsid w:val="00DF0495"/>
    <w:rsid w:val="00E155F5"/>
    <w:rsid w:val="00E17A32"/>
    <w:rsid w:val="00E17AF8"/>
    <w:rsid w:val="00E23AAE"/>
    <w:rsid w:val="00E31524"/>
    <w:rsid w:val="00E32A1E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EF2D31"/>
    <w:rsid w:val="00F156FF"/>
    <w:rsid w:val="00F166B0"/>
    <w:rsid w:val="00F20908"/>
    <w:rsid w:val="00F31AD4"/>
    <w:rsid w:val="00F50E30"/>
    <w:rsid w:val="00F55C20"/>
    <w:rsid w:val="00F56118"/>
    <w:rsid w:val="00F5754E"/>
    <w:rsid w:val="00F64572"/>
    <w:rsid w:val="00F70C1F"/>
    <w:rsid w:val="00F71322"/>
    <w:rsid w:val="00F742C0"/>
    <w:rsid w:val="00F807FB"/>
    <w:rsid w:val="00FA4E5F"/>
    <w:rsid w:val="00FC0E80"/>
    <w:rsid w:val="00FC383A"/>
    <w:rsid w:val="00FC40AE"/>
    <w:rsid w:val="00FE7F4B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23</Pages>
  <Words>3414</Words>
  <Characters>19465</Characters>
  <Application>Microsoft Office Word</Application>
  <DocSecurity>0</DocSecurity>
  <Lines>162</Lines>
  <Paragraphs>45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233</cp:revision>
  <dcterms:created xsi:type="dcterms:W3CDTF">2023-03-15T05:55:00Z</dcterms:created>
  <dcterms:modified xsi:type="dcterms:W3CDTF">2023-04-11T12:58:00Z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