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5DB4" w14:textId="69CFCD9B" w:rsidR="00036A90" w:rsidRDefault="00036A90" w:rsidP="00036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Variability in FeB Pair Association Rates in Silicon under Ultraso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</w:t>
      </w:r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Loading: Effects of Acoustic Wave Types</w:t>
      </w:r>
      <w:r w:rsidRPr="008C22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C94675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2C9B6" w14:textId="6572F025" w:rsidR="006762F8" w:rsidRDefault="006762F8" w:rsidP="006762F8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4315DF">
        <w:rPr>
          <w:szCs w:val="24"/>
          <w:u w:val="single"/>
        </w:rPr>
        <w:t>Oleg Olikh</w:t>
      </w:r>
      <w:r w:rsidR="008C2241">
        <w:rPr>
          <w:rFonts w:eastAsia="Times New Roman"/>
          <w:color w:val="000000"/>
          <w:szCs w:val="24"/>
          <w:vertAlign w:val="superscript"/>
        </w:rPr>
        <w:t>1,*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and </w:t>
      </w:r>
      <w:r w:rsidRPr="004315DF">
        <w:rPr>
          <w:szCs w:val="24"/>
        </w:rPr>
        <w:t>Nikolay Arutyunov</w:t>
      </w:r>
      <w:r>
        <w:rPr>
          <w:szCs w:val="24"/>
          <w:vertAlign w:val="superscript"/>
        </w:rPr>
        <w:t>2,3</w:t>
      </w:r>
      <w:r w:rsidRPr="00937198">
        <w:rPr>
          <w:szCs w:val="24"/>
        </w:rPr>
        <w:t xml:space="preserve"> </w:t>
      </w:r>
    </w:p>
    <w:p w14:paraId="5E0A176D" w14:textId="4C06737E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 xml:space="preserve">Department of General Physics, </w:t>
      </w:r>
      <w:r w:rsidRPr="006762F8">
        <w:rPr>
          <w:rFonts w:ascii="Times New Roman" w:eastAsia="Times New Roman" w:hAnsi="Times New Roman" w:cs="Times New Roman"/>
          <w:i/>
          <w:color w:val="000000"/>
        </w:rPr>
        <w:t>Taras Shevchenko National University of Kyiv, Kyiv, Ukraine</w:t>
      </w:r>
    </w:p>
    <w:p w14:paraId="44318E1C" w14:textId="4C755338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Pr="006762F8">
        <w:rPr>
          <w:rFonts w:ascii="Times New Roman" w:eastAsia="Times New Roman" w:hAnsi="Times New Roman" w:cs="Times New Roman"/>
          <w:i/>
          <w:color w:val="000000"/>
        </w:rPr>
        <w:t>Department of Physics, Martin Luther University Halle, Halle, Germany</w:t>
      </w:r>
    </w:p>
    <w:p w14:paraId="3C259606" w14:textId="6106C43F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3</w:t>
      </w:r>
      <w:r w:rsidRPr="006762F8">
        <w:rPr>
          <w:rFonts w:ascii="Times New Roman" w:eastAsia="Times New Roman" w:hAnsi="Times New Roman" w:cs="Times New Roman"/>
          <w:i/>
          <w:color w:val="000000"/>
        </w:rPr>
        <w:t>Leibniz-lnstitut für Kristallzüchtung (IKZ), Berlin, Germany</w:t>
      </w:r>
    </w:p>
    <w:p w14:paraId="2D472B9E" w14:textId="322E4FC7" w:rsidR="003D2C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*email: </w:t>
      </w:r>
      <w:r w:rsidR="006762F8" w:rsidRPr="006762F8">
        <w:rPr>
          <w:rFonts w:ascii="Times New Roman" w:eastAsia="Times New Roman" w:hAnsi="Times New Roman" w:cs="Times New Roman"/>
          <w:color w:val="0000FF"/>
          <w:u w:val="single"/>
        </w:rPr>
        <w:t>olegolikh@knu.ua</w:t>
      </w:r>
      <w:r w:rsidR="006762F8">
        <w:t xml:space="preserve"> </w:t>
      </w:r>
    </w:p>
    <w:p w14:paraId="1E61096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2633F" w14:textId="7621AF55" w:rsidR="00426131" w:rsidRDefault="00365C68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Ultrasound (US) is recognized as an effective tool for defect engineering in materials science, as detailed in sources [1-2]. Its broad utility stems from the ability to modify both the frequency and type of acoustic waves, allowing for a targeted approach to specific defect types.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Recent studies [1] have demonstrated that US loading can force 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increase in the association rate of FeB pairs in </w:t>
      </w:r>
      <w:r w:rsidR="003E2A32"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>Cz-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silicon solar cells, likely due to a lowered energy barrier for iron ion migration.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magnitude of acoustically-induced 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(AI)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energy </w:t>
      </w:r>
      <w:r w:rsidR="00426131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reduction </w:t>
      </w:r>
      <w:r w:rsidR="00FA15F0" w:rsidRPr="00FA15F0">
        <w:rPr>
          <w:rFonts w:ascii="Times New Roman" w:hAnsi="Times New Roman" w:cs="Times New Roman"/>
          <w:sz w:val="24"/>
          <w:szCs w:val="24"/>
        </w:rPr>
        <w:t>Δ</w:t>
      </w:r>
      <w:r w:rsidR="00FA15F0" w:rsidRPr="00FA15F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FA15F0" w:rsidRPr="00FA15F0">
        <w:rPr>
          <w:rFonts w:ascii="Times New Roman" w:hAnsi="Times New Roman" w:cs="Times New Roman"/>
          <w:sz w:val="24"/>
          <w:szCs w:val="24"/>
          <w:vertAlign w:val="subscript"/>
        </w:rPr>
        <w:t>US</w:t>
      </w:r>
      <w:r w:rsidR="00FA15F0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5F0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>foreseeably</w:t>
      </w:r>
      <w:r w:rsid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dependent on the </w:t>
      </w:r>
      <w:r w:rsidR="003E2A32">
        <w:rPr>
          <w:rFonts w:ascii="Times New Roman" w:eastAsia="Times New Roman" w:hAnsi="Times New Roman" w:cs="Times New Roman"/>
          <w:color w:val="000000"/>
          <w:sz w:val="24"/>
          <w:szCs w:val="24"/>
        </w:rPr>
        <w:t>intensity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excited acoustic waves (see Fig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ure~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1) and can reach up to 15 meV.</w:t>
      </w:r>
    </w:p>
    <w:p w14:paraId="0AE47DEC" w14:textId="77777777" w:rsidR="008B02F7" w:rsidRDefault="00207DDD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Further research revealed an intriguing frequency effect associated with acoustic wave types. Specifically, when FeB association stimulated by longitudinal waves of a constant intensity, the value of </w:t>
      </w:r>
      <w:r w:rsidRPr="00FA15F0">
        <w:rPr>
          <w:rFonts w:ascii="Times New Roman" w:hAnsi="Times New Roman" w:cs="Times New Roman"/>
          <w:sz w:val="24"/>
          <w:szCs w:val="24"/>
        </w:rPr>
        <w:t>Δ</w:t>
      </w:r>
      <w:r w:rsidRPr="00FA15F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A15F0">
        <w:rPr>
          <w:rFonts w:ascii="Times New Roman" w:hAnsi="Times New Roman" w:cs="Times New Roman"/>
          <w:sz w:val="24"/>
          <w:szCs w:val="24"/>
          <w:vertAlign w:val="subscript"/>
        </w:rPr>
        <w:t>US</w:t>
      </w:r>
      <w:r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rises with frequency—refer to Fig. 1, left panel. In this scenario, an increase in acoustic vibration frequency leads to decreased efficiency in the acoustic-defect interaction. When transverse ultrasonic waves are excited, the opposite effect is noted: higher frequencies enhance the efficiency of accelerating the association of the FeB pair (see Fig. 1, right panel). </w:t>
      </w:r>
    </w:p>
    <w:p w14:paraId="3CFA05B7" w14:textId="5F423B29" w:rsidR="00426131" w:rsidRDefault="00207DDD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Such behavior of the Fe center in Si under ultrasound loading distinctly demonstrates the presence of an anisotropic deformation field within the crystal lattice linked to this defect.</w:t>
      </w:r>
    </w:p>
    <w:p w14:paraId="42EE78AE" w14:textId="2DA8E08D" w:rsidR="00207DDD" w:rsidRDefault="003009C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>Simultaneously, the oversized ion core of the Fe impurity is evident in the emission of the elementally specific electron-positron annihilation radiation similar to observations in point defects within diamond-like semiconductors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[3]</w:t>
      </w: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>. Such peculiarity must give an identifying feature of the FeB complex in its energetically anisotropic reaction to acoustic oscillations depending on wave type. The FeB complex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>is regarded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effective positron trap, and experiments aim to validate predictions concerning the microstructure of the center based on positron annihilation phenomena under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conditions </w:t>
      </w:r>
      <w:r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>will be considered.</w:t>
      </w:r>
    </w:p>
    <w:p w14:paraId="238434AA" w14:textId="77777777" w:rsidR="008C2241" w:rsidRDefault="008C2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6A90" w14:paraId="74B5618A" w14:textId="77777777" w:rsidTr="00036A90">
        <w:tc>
          <w:tcPr>
            <w:tcW w:w="4508" w:type="dxa"/>
          </w:tcPr>
          <w:p w14:paraId="36F7AA66" w14:textId="1A6870E3" w:rsidR="00036A90" w:rsidRDefault="009F2776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3BF7760" wp14:editId="45590668">
                  <wp:extent cx="2520000" cy="1947374"/>
                  <wp:effectExtent l="0" t="0" r="0" b="0"/>
                  <wp:docPr id="12136685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668512" name="Рисунок 12136685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50CC2B" w14:textId="2513705C" w:rsidR="00036A90" w:rsidRDefault="009F2776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5CA40AD" wp14:editId="2FFB671A">
                  <wp:extent cx="2520000" cy="1947374"/>
                  <wp:effectExtent l="0" t="0" r="0" b="0"/>
                  <wp:docPr id="96718191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181916" name="Рисунок 96718191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A90" w14:paraId="2DEFDCEF" w14:textId="77777777" w:rsidTr="00E91438">
        <w:tc>
          <w:tcPr>
            <w:tcW w:w="9016" w:type="dxa"/>
            <w:gridSpan w:val="2"/>
          </w:tcPr>
          <w:p w14:paraId="4C6DDE24" w14:textId="42A73759" w:rsidR="00036A90" w:rsidRDefault="00036A90" w:rsidP="00036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1: 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Dependencies of acoustically induced changes in iron ion migration energy on ultrasound intensity using longitudinal (L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 xml:space="preserve">, 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>left panel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) and transverse (T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>, right panel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acoustic 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waves of different frequencies</w:t>
            </w:r>
            <w:r w:rsidR="009F2776" w:rsidRPr="00297B7A">
              <w:t>.</w:t>
            </w:r>
          </w:p>
        </w:tc>
      </w:tr>
    </w:tbl>
    <w:p w14:paraId="2C15954D" w14:textId="77777777" w:rsidR="003D2C43" w:rsidRDefault="003D2C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B5A647D" w14:textId="438765C5" w:rsidR="003D2C4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Olikh</w:t>
      </w:r>
      <w:r w:rsidR="008B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2F7" w:rsidRPr="008B02F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B02F7" w:rsidRPr="008B02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Appl.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Phys</w:t>
      </w:r>
      <w:r>
        <w:rPr>
          <w:rFonts w:ascii="Times New Roman" w:eastAsia="Times New Roman" w:hAnsi="Times New Roman" w:cs="Times New Roman"/>
          <w:sz w:val="24"/>
          <w:szCs w:val="24"/>
        </w:rPr>
        <w:t>. 1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235703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CDF371" w14:textId="06DFF232" w:rsidR="003D2C4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D. Kropman, V. Seeman, S. Dolgov and A. Medvids, Phys. Status Solidi C 13, 793</w:t>
      </w:r>
      <w:r w:rsidR="008B02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8B02F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F9C22" w14:textId="58B87C34" w:rsidR="00365C68" w:rsidRPr="003009C2" w:rsidRDefault="008B02F7" w:rsidP="003009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N. Arutyunov and R. Krauserehberg, Sol. State. Phenom. 95-96, 507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2004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65C68" w:rsidRPr="003009C2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43"/>
    <w:rsid w:val="00036A90"/>
    <w:rsid w:val="00060636"/>
    <w:rsid w:val="001A5179"/>
    <w:rsid w:val="00207DDD"/>
    <w:rsid w:val="002339BE"/>
    <w:rsid w:val="003009C2"/>
    <w:rsid w:val="00365C68"/>
    <w:rsid w:val="003D2C43"/>
    <w:rsid w:val="003E2A32"/>
    <w:rsid w:val="00426131"/>
    <w:rsid w:val="006762F8"/>
    <w:rsid w:val="00775849"/>
    <w:rsid w:val="00795958"/>
    <w:rsid w:val="007B17C2"/>
    <w:rsid w:val="008B02F7"/>
    <w:rsid w:val="008C2241"/>
    <w:rsid w:val="00913D00"/>
    <w:rsid w:val="009F2776"/>
    <w:rsid w:val="00EF68B1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371A"/>
  <w15:docId w15:val="{716F0387-237D-4AD6-926C-3355234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D2B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734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E9E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uthorsaffiliation">
    <w:name w:val="authors/affiliation"/>
    <w:basedOn w:val="a"/>
    <w:rsid w:val="006762F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val="en-GB" w:eastAsia="de-DE"/>
    </w:rPr>
  </w:style>
  <w:style w:type="character" w:styleId="a8">
    <w:name w:val="Strong"/>
    <w:basedOn w:val="a0"/>
    <w:uiPriority w:val="22"/>
    <w:qFormat/>
    <w:rsid w:val="00036A90"/>
    <w:rPr>
      <w:b/>
      <w:bCs/>
    </w:rPr>
  </w:style>
  <w:style w:type="table" w:styleId="a9">
    <w:name w:val="Table Grid"/>
    <w:basedOn w:val="a1"/>
    <w:uiPriority w:val="39"/>
    <w:rsid w:val="0003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"/>
    <w:rsid w:val="003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1854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Omar Ferragut</dc:creator>
  <cp:lastModifiedBy>я</cp:lastModifiedBy>
  <cp:revision>10</cp:revision>
  <dcterms:created xsi:type="dcterms:W3CDTF">2024-05-14T06:30:00Z</dcterms:created>
  <dcterms:modified xsi:type="dcterms:W3CDTF">2024-05-14T16:08:00Z</dcterms:modified>
</cp:coreProperties>
</file>