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частинок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Центр мас системи частинок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Рівняння руху центру мас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Система центру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мас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(с.ц.м.)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Рух тіла змінної маси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РівняиняМєщєрського.Приклади:рух реактивного літака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рух ракети в міжпланетному просторі .Формула Циолковського. Оцінка можливостей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ракет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на хімічному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пальному 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5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Зіткнення частинок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Пружні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непружні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зіткнення 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Застосування законів збереження імпульсу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енергії до пружного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зіткнення двох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частинок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Перехід від лабораторної системи до с.ц.м.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, зведена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маса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Диаграма імпульсів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Зв’язок між кутами розсіяння в с.ц.м. та в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лабораторній системі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. Розпад частинок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(1 А:Гл.З;2А:$4,5;ЗА:§27,28;ЗБ:с.27,§17;4Б:§6.1;9Б:Гл.З)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1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Момент імпульсу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Зміна моменту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імпульсу частинки, момент сили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рівняння моментів. Закон збереження моменту імпульсу частинки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його компонент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5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Закон зміни та збереження моменту імпульсу системи частинок . Момент імпульсу системи частинок, визначений в с.ц.м. (власний момент імпульсу). Зв’язок .між власним моментом імпульсу системи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моментом імпульсу в довільній ІСВ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(1 А:§5.1-5.3;2 А:§6;4Б:§6.2-6.4;5Б:С. 155-159)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5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Застосування законів збереження до аналізу руху частинки в полі центральної сили: загальні характеристики руху та траєкторії , умова замкненості траєкторії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Приклад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рух частинкі в полі Ц(г)=а/г.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(ЗА:§ЗО;6Б:§7)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2" w:val="left"/>
        </w:tabs>
        <w:bidi w:val="0"/>
        <w:spacing w:before="0" w:after="0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б.</w:t>
        <w:tab/>
        <w:t xml:space="preserve">ДИНАМІКА ТВЕРДОГО ТІЛА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Рух абсолютно твердого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тіла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як поступальний рух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центру мас 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обертання навколо осі, що проходить через центр мас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Кутова швидкість як повна характеристика обертового руху абсолютно твердого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тіла.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Можливість введення миттєвої осі обертання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Рівняння руху твердого тіла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Про можливість введення рівнодіючої сили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Умова рівноваги твердого тіла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Приклад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рівновага балки , необхідність врахування деформації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в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невизначено-стагичних задачах.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Зв’язок між вектором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моменту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імпульсу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вектором кутової швидкості абсолютно твердого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тіла 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Тензор інерції.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Основні властивості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тензора інерції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та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обчіслення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його компонент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Приклад :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обчислення компонент тензора інерції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однорідного прямого паралеліпіпеда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Теорема Гюйгенса-Штейнера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Вільні осі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обертання та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головні моменти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інерції твердого тіла .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Головні моменти інерції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кільця , диска , циліндра тс кулі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Зв’язок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між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симетрією тіла та симетрією тензора інерції. Еліпсоїд інерції.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Кінетична енергія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абсолютно твердого тіла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,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її вираз через компоненти тензора інерції та вектора кутової швидкості.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/>
        <w:ind w:left="0" w:right="0" w:firstLine="0"/>
        <w:jc w:val="both"/>
      </w:pP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Обертання твердого тіла навколо нерухомої осі, плоский рух твердого тіла рух твердого тіла з однією нерухомою точкою ( гіроскопи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)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. Задача про 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скочування циліндра з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похилої площини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, </w:t>
      </w:r>
      <w:r>
        <w:rPr>
          <w:color w:val="4A4134"/>
          <w:spacing w:val="0"/>
          <w:w w:val="100"/>
          <w:position w:val="0"/>
          <w:shd w:val="clear" w:color="auto" w:fill="auto"/>
          <w:lang w:val="uk-UA" w:eastAsia="uk-UA" w:bidi="uk-UA"/>
        </w:rPr>
        <w:t>задача про прецесію гіроскопа.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Виникнення гіроскопічних сил , застосування гіроскопів 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(І А:§5.4;3А:Гл.5; І Б:§44,45,47,48-51,53; 2Б:С. 171 -182; 192-198;4Б:Гл.8;5Б:с. 161 - І68;8Б:§50,58-61,64-69,72-75)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МЕХАНІКА ПРУЖНИХ ТІЛ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Пружні та непружні деформації. Деформація стиску (розтягу) , зсуву , кручення та згину , їх кількісні характеристики . Модуль Юнга , коефіцієнти Пунсона , модуль зсуну , модуль всебічного стиску 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Експериментальні методи визначення пружних сталих твердих тіл . (ІБ:§73,74 ,75,76 ,77-80;8Б:§8І-84,85 )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8" w:val="left"/>
        </w:tabs>
        <w:bidi w:val="0"/>
        <w:spacing w:before="0" w:after="0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ГІДРОДИНАМІКА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Стаціонарна течія рідини . Нерозривність струменя . Стаціонарна течія ідеальної рідини . Рівняння Бернулі. Формула Торрічелі.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Сили внутрішнього тертя, коефіцієнт внутрішнього тертя . Ламінарна та турбулентна течія . Число Рейнольдса 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Рух тіл в рідинах та газах.Лобовий опір та підйомна сила.Формула Стокса. (ЗА:§72-76,78;1 Б:с.459-473,104,1()5;8Б:§І(Ю, 102-104,і 12,116, /117-122/ ,118, 119,39,40)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8" w:val="left"/>
        </w:tabs>
        <w:bidi w:val="0"/>
        <w:spacing w:before="0" w:after="0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ЗАКОН ВСЕСВІТНЬОГО ТЯЖІННЯ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Закони Кеплера та закон всесвітнього тяжіння . Вимірювання гравітаційної сталої. Гравітаційна та інертна маси . Принцип еквівалентності.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Рух частинки під дією центральної сили , обернено пропорційної квадрату відстані до силового центру . Умови руху по замкненим траєкторіям 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Рух частинок в полі І)(г)=а/т по еліптичним траєкторіям . Закони Кенлера- наслідки законів динаміки та законів всесвітнього тяжіння 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Задача двох тіл : зведення цієї задачі до руху частинки зведеної маси в полі центральної сили.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Обчислення потенціальної енергії частинки в гравітаційному полі кулі.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Рух космічних ракет та штучних супутників Землі. Космічні швидкості. (2А:88;ЗА:Гл.6;1Б:Гл.8;2Б;с.243-255;4Б:Гл.9;5Б:с.70-84; 8Б:Гл.9)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6" w:val="left"/>
        </w:tabs>
        <w:bidi w:val="0"/>
        <w:spacing w:before="0" w:after="0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РОЗСІЯННЯ ЧАСТИНОК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6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Розсіяння частинок на нерухомому силовому центрі.Прицільна відстань, ефективний переріз розсіяння в с.ц.м. та в лабораторній системі відліку. Поняття про частинки віддачі.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6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Розсіяння заряджених частинок в кулонівському полі . Залежність ефективного перерізу розсіяння від швидкості (кінетичної енергії) взаємодіючих частинок.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6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Розсіяння абсолютно твердих сфершовний переріз розсіяння «незалежність перерізу від швидкості.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 xml:space="preserve">(ЗА:§ 18,19;6Б:§ 13,14; 7 </w:t>
      </w:r>
      <w:r>
        <w:rPr>
          <w:b w:val="0"/>
          <w:bCs w:val="0"/>
          <w:smallCaps/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Бї§3.7)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4" w:val="left"/>
        </w:tabs>
        <w:bidi w:val="0"/>
        <w:spacing w:before="0" w:after="0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КОЛИВАННЯ І ХВИЛІ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6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Коливання . Гармонічні коливання , частота , період ,фаза . Власні коливання одновимірного осцилятора. Затухання власних коливань під дією сили опору. Логаріфмічний декремент затухання, добротність.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Вимушені коливання. Резонанс. Поняття про параметричний резонанс.</w:t>
      </w:r>
    </w:p>
    <w:p>
      <w:pPr>
        <w:pStyle w:val="Style2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Додавання гармонічних коливань однієї частоти та напряму,різних частот.</w:t>
      </w:r>
    </w:p>
    <w:sectPr>
      <w:footnotePr>
        <w:pos w:val="pageBottom"/>
        <w:numFmt w:val="decimal"/>
        <w:numRestart w:val="continuous"/>
      </w:footnotePr>
      <w:pgSz w:w="8400" w:h="11900"/>
      <w:pgMar w:top="1112" w:left="1535" w:right="993" w:bottom="170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9"/>
      <w:numFmt w:val="decimal"/>
      <w:lvlText w:val="5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abstractNum w:abstractNumId="2">
    <w:multiLevelType w:val="multilevel"/>
    <w:lvl w:ilvl="0">
      <w:start w:val="1"/>
      <w:numFmt w:val="decimal"/>
      <w:lvlText w:val="3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abstractNum w:abstractNumId="4">
    <w:multiLevelType w:val="multilevel"/>
    <w:lvl w:ilvl="0">
      <w:start w:val="2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4A4134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abstractNum w:abstractNumId="6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uk-UA" w:eastAsia="uk-UA" w:bidi="uk-UA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uk-UA" w:eastAsia="uk-UA" w:bidi="uk-UA"/>
    </w:rPr>
  </w:style>
  <w:style w:type="character" w:customStyle="1" w:styleId="CharStyle3">
    <w:name w:val="Основний текст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Основний текст"/>
    <w:basedOn w:val="Normal"/>
    <w:link w:val="CharStyle3"/>
    <w:pPr>
      <w:widowControl w:val="0"/>
      <w:shd w:val="clear" w:color="auto" w:fill="FFFFFF"/>
      <w:spacing w:line="276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Без названия</dc:title>
  <dc:subject/>
  <dc:creator>Пользователь</dc:creator>
  <cp:keywords/>
</cp:coreProperties>
</file>