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F23" w:rsidRDefault="00A10F23">
      <w:pPr>
        <w:spacing w:before="280" w:after="280" w:line="240" w:lineRule="auto"/>
        <w:ind w:left="453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Додаток 1 </w:t>
      </w:r>
    </w:p>
    <w:p w:rsidR="00BB2332" w:rsidRDefault="00A10F23">
      <w:pPr>
        <w:spacing w:before="280" w:after="280" w:line="240" w:lineRule="auto"/>
        <w:ind w:left="453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 </w:t>
      </w:r>
      <w:r w:rsidR="00BB23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розпорядження № ___ від «__»_______ 2025 року</w:t>
      </w:r>
    </w:p>
    <w:p w:rsidR="00813EC2" w:rsidRPr="00A10F23" w:rsidRDefault="00813EC2" w:rsidP="00A10F23">
      <w:pPr>
        <w:spacing w:before="280" w:after="280" w:line="240" w:lineRule="auto"/>
        <w:ind w:left="4535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13EC2" w:rsidRDefault="00C7540A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b7uso3sw02la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ІНСТРУКЦІЯ</w:t>
      </w:r>
    </w:p>
    <w:p w:rsidR="00813EC2" w:rsidRDefault="00C7540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щодо підготовки документів для погодження присвоєння професійної кваліфікації за освітньою програмою</w:t>
      </w:r>
    </w:p>
    <w:p w:rsidR="00813EC2" w:rsidRDefault="00C754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Загальні вимоги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 Відповідальність за підготовку пакету документів покладається на  гаранта ОП і керівника структурного підрозділу; технічний та організаційно-консультативний супровід покладається на Відділ забезпечення якості вищої освіти і Науково-методичну раду; координацію забезпечує проректор з науково-педагогічної роботи.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Терміни подачі документів до НАК визначені у Постанові Кабінету Міністрів України від 25 жовтня 2024 р. № 1223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8"/>
          <w:szCs w:val="28"/>
        </w:rPr>
        <w:t>. У 2025 році розроблений комплект документів має бути поданий до Відділу забезпечення якості вищої освіти не пізніш як 13 жовтня 2025 року.</w:t>
      </w:r>
    </w:p>
    <w:p w:rsidR="00813EC2" w:rsidRDefault="00C754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Вимоги до присвоєння професійної кваліфікації у разі наявності професійного стандарту</w:t>
      </w: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Перевірити наявність відповідної професійної кваліфікації у Класифікаторі професій (ДК 003:2010) з урахуванням усіх змін (</w:t>
      </w:r>
      <w:hyperlink r:id="rId8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https://me.gov.ua/Profession/List?lang=uk-UA&amp;id=d4162ef8-2771-4ac5-99ef-1d4b6f5336af&amp;tag=KlasifikatorProfesii-Poshuk</w:t>
        </w:r>
      </w:hyperlink>
      <w:r>
        <w:t xml:space="preserve">, </w:t>
      </w:r>
      <w:hyperlink r:id="rId9" w:anchor="Text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https://zakon.rada.gov.ua/rada/show/va327609-10#Text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,).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Ознайомитися із професійним стандартом у Реєстрі професійних стандартів (</w:t>
      </w:r>
      <w:hyperlink r:id="rId10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https://register.nqa.gov.ua/profstandarts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Забезпечити дотримання в ОП всіх вимог, установлених професійним стандартом, та відобразити їх у описі ОП (розділи 1(див. Додаток 3), 3.1 (див. Додаток 4) і додаток до ОП (див. Додаток 5)).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2.4. Сформувати у вигляді Додатку до опису ОП (див. Додаток 5) комплект документів, який підтверджує виконання умов присвоєння професійної кваліфікації відповідно до професійного стандарту.</w:t>
      </w:r>
    </w:p>
    <w:p w:rsidR="00813EC2" w:rsidRDefault="00C7540A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Комплект документів повинен містити:</w:t>
      </w:r>
    </w:p>
    <w:p w:rsidR="00813EC2" w:rsidRDefault="00C7540A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 професійної кваліфікації, укладений відповідно до вимог затвердженого професійного стандарту та структури, визначеної у Порядку присвоєння професійних кваліфікацій (документи розроблені на кроках 2.3, 2.4). </w:t>
      </w:r>
    </w:p>
    <w:p w:rsidR="00813EC2" w:rsidRDefault="00C7540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 навчально-методичної (науково-методичної) комісії структурного підрозділу про можливість формування в ОП визначених професійним стандартом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3EC2" w:rsidRDefault="00C7540A">
      <w:pPr>
        <w:numPr>
          <w:ilvl w:val="0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Щонайменше два відгуки роботодавців та/або їх об’єднань, у яких  подається оцінка змісту ОП щодо достатнього обсягу формування необхідних професійних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присвоєння кожної із визначених в описі ОП професійних кваліфікацій.</w:t>
      </w:r>
    </w:p>
    <w:p w:rsidR="00813EC2" w:rsidRDefault="00C7540A">
      <w:pPr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випадку, коли затвердженим у встановленому порядку професійним стандартом зазначені інші вимоги/правила, ніж визначені у цій інструкції, використовуються вимоги/правила, передбачені професійним стандартом.</w:t>
      </w:r>
    </w:p>
    <w:p w:rsidR="00813EC2" w:rsidRDefault="00C754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Вимоги до присвоєння професійної кваліфікації у разі відсутності професійного стандарту, але наявності опису професійної кваліфікації в ДКХП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Перевірити наявність відповідної професійної кваліфікації у Класифікаторі професій (ДК 003:2010) урахуванням усіх змін (</w:t>
      </w:r>
      <w:hyperlink r:id="rId11" w:anchor="Text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https://zakon.rada.gov.ua/rada/show/va327609-10#Text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2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https://me.gov.ua/Profession/List?lang=uk-UA&amp;id=d4162ef8-2771-4ac5-99ef-1d4b6f5336af&amp;tag=KlasifikatorProfesii-Poshuk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Наприклад, професійна кваліфікація “Інженер-програміст” (ДК 2132.2)  є в Класифікаторі </w:t>
      </w:r>
      <w:hyperlink r:id="rId13" w:anchor="Text">
        <w:r>
          <w:rPr>
            <w:rFonts w:ascii="Times New Roman" w:eastAsia="Times New Roman" w:hAnsi="Times New Roman" w:cs="Times New Roman"/>
            <w:i/>
            <w:sz w:val="28"/>
            <w:szCs w:val="28"/>
            <w:u w:val="single"/>
          </w:rPr>
          <w:t>https://zakon.rada.gov.ua/rada/show/va327609-10#Text</w:t>
        </w:r>
      </w:hyperlink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Додаток А та не змінена і не скасована  жодною зі змін.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 Переконатися у відсутності затвердженого професійного стандарту у Реєстрі професійних стандартів (</w:t>
      </w:r>
      <w:hyperlink r:id="rId14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https://register.nqa.gov.ua/profstandarts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 (див. рис. 1).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6031230" cy="290703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907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1. </w:t>
      </w:r>
      <w:r>
        <w:rPr>
          <w:rFonts w:ascii="Times New Roman" w:eastAsia="Times New Roman" w:hAnsi="Times New Roman" w:cs="Times New Roman"/>
          <w:sz w:val="28"/>
          <w:szCs w:val="28"/>
        </w:rPr>
        <w:t>Перевірка наявності професійного стандарту для професійної кваліфікації</w:t>
      </w:r>
    </w:p>
    <w:p w:rsidR="00813EC2" w:rsidRDefault="00C754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Якщо стандарт є, то повернутися до розділу 2 цієї інструкції.</w:t>
      </w: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3.3. Перевірити наявність опису відповідної професійної кваліфікації у Довіднику кваліфікаційних характеристик професій працівників (ДКХП) (Додаток Б Класифікатора професій </w:t>
      </w:r>
      <w:hyperlink r:id="rId16" w:anchor="Text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https://zakon.rada.gov.ua/rada/show/va327609-10#Text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7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https://zakon.rada.gov.ua/rada/file/text/63/f335720n22.doc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 (див. рис. 2)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096952" cy="135255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952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031230" cy="73152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3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Фрагмент Додатка Б до Класифікатора професій</w:t>
      </w: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3.4. Якщо опис професійної кваліфікації  є в ДКХП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 прикладі це випуск ДКХП №1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 необхідно його знайти у відповідному випуску (</w:t>
      </w:r>
      <w:hyperlink r:id="rId20" w:anchor="Text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https://zakon.rada.gov.ua/rada/show/v0336203-04#Text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) (див. рис. 3) та забезпечити дотримання в ОП всіх вимог,  визначених у ДКХП. </w:t>
      </w:r>
    </w:p>
    <w:p w:rsidR="00813EC2" w:rsidRDefault="00C754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3.5. Описати трудові функції, компетентності, знання, компетентності (уміння і навички) відповідно до вимог ДКХП (див. п. 1.2, 1.3, 1.4 Додатку 5).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817644" cy="8407363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644" cy="840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Рисунок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Кваліфікаційні характеристики професійної кваліфікації Інженер-програміст </w:t>
      </w: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3.6. Сформувати переліки відповідних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програмних результатів навчання та освітніх компонент за ОП, що забезпечують досягнення професійних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трудових функцій (знайдених на кроці 3.5)  (див. п. 1.5, 1.6, 2 Додатка 5).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3.7. Сформувати матрицю відповідності професійних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ДКХП, які необхідні для присвоєння професійної кваліфікації (визначених і систематизованих на кроці 3.5) і освітніх компонентів ОП  (див. п. 3 Додатка 5).</w:t>
      </w:r>
    </w:p>
    <w:p w:rsidR="00813EC2" w:rsidRDefault="00C7540A">
      <w:pP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3.8. Сформувати матрицю відповідності програмних результатів за ДКХП, які необхідні для присвоєння професійної кваліфікації (визначених і систематизованих на кроці 3.5) і освітніх компонентів ОП  (див. п. 4 Додатка 5)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3.9. Сформувати матрицю відповідності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ОП та професійних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ДКХП   (див. п. 5 Додатка 5).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3.10. Сформувати  матрицю відповідності програмних результатів навчання за ОП та програмних результатів за ДКХП   (див. п. 6 Додатка 5).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обраних на кроці 3.6 освітніх компонентів ОП підготувати фрагменти матриць відповідності програмних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компонентам освітньої програми та забезпечення програмних результатів навчання (ПРН) відповідними компонентами освітньої програми (з ОП).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3.11. Відповідно до сформованої на кроках 3.5-3.10 інформації оформити характеристику (зміст) професійної (професійних) кваліфікації (кваліфікацій) (див. Додаток 2), зазначити інформацію про відповідну професійну кваліфікацію у профілі ОП (див. Додаток 3), описати розділ 3.1 ОП (див. Додаток 4) та Додаток до ОП (див. Додаток 5).</w:t>
      </w:r>
    </w:p>
    <w:p w:rsidR="00813EC2" w:rsidRDefault="00C7540A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Комплект документів повинен містити:</w:t>
      </w:r>
    </w:p>
    <w:p w:rsidR="00813EC2" w:rsidRDefault="00C7540A">
      <w:pPr>
        <w:numPr>
          <w:ilvl w:val="0"/>
          <w:numId w:val="6"/>
        </w:numPr>
        <w:spacing w:before="280" w:after="0" w:line="240" w:lineRule="auto"/>
        <w:ind w:left="70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Характеристику (зміст) професійної (професійних) кваліфікації (кваліфікацій) за формою згідно з Додатком 2.</w:t>
      </w:r>
    </w:p>
    <w:p w:rsidR="00813EC2" w:rsidRDefault="00C7540A">
      <w:pPr>
        <w:numPr>
          <w:ilvl w:val="0"/>
          <w:numId w:val="6"/>
        </w:numPr>
        <w:spacing w:after="0" w:line="240" w:lineRule="auto"/>
        <w:ind w:left="70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 ОП з розділом «3.1. Присвоєння професійної кваліфікації» (див. Додаток 4) та пунктами «Професійна кваліфікація» та «Часткова професійна кваліфікація»  в профілі ОП (див. Додаток 3).</w:t>
      </w:r>
    </w:p>
    <w:p w:rsidR="00813EC2" w:rsidRDefault="00C7540A">
      <w:pPr>
        <w:numPr>
          <w:ilvl w:val="0"/>
          <w:numId w:val="6"/>
        </w:numPr>
        <w:spacing w:after="0" w:line="240" w:lineRule="auto"/>
        <w:ind w:left="70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 навчально-методичної (науково-методичної) комісії структурного підрозділу про можливість формування в ОП визначених професійним стандартом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3EC2" w:rsidRDefault="00C7540A">
      <w:pPr>
        <w:numPr>
          <w:ilvl w:val="0"/>
          <w:numId w:val="6"/>
        </w:numPr>
        <w:spacing w:after="0" w:line="240" w:lineRule="auto"/>
        <w:ind w:left="70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Щонайменше два відгуки роботодавців та/або їх об’єднань, у яких  подається оцінка змісту ОП щодо достатнього обсягу формування необхідних професійних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присвоєння кожної із визначених в описі ОП професійних кваліфікацій.</w:t>
      </w:r>
    </w:p>
    <w:p w:rsidR="00813EC2" w:rsidRDefault="00C7540A">
      <w:pPr>
        <w:numPr>
          <w:ilvl w:val="0"/>
          <w:numId w:val="6"/>
        </w:numPr>
        <w:spacing w:after="0" w:line="240" w:lineRule="auto"/>
        <w:ind w:left="70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Обґрунтування необхідності впровадження професійної кваліфікації, у якому подається аналіз потреби у працівниках кожної із визначених в описі ОП професійних кваліфікацій на ринку праці національного та/або регіонального рівнів (див. Додаток 6). Цей документ формується на рівні структурного підрозділу.</w:t>
      </w:r>
    </w:p>
    <w:p w:rsidR="00813EC2" w:rsidRDefault="00C7540A">
      <w:pPr>
        <w:numPr>
          <w:ilvl w:val="0"/>
          <w:numId w:val="6"/>
        </w:numPr>
        <w:spacing w:after="0" w:line="240" w:lineRule="auto"/>
        <w:ind w:left="70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 роботодавців, у якому подається оцінка  потреби у працівниках з такою професійною кваліфікацією на ринку праці національного та/або регіонального рівнів від роботодавців та/або їх об’єднань (у Додатку 7 подано шаблон  звернення до роботодавців).</w:t>
      </w:r>
    </w:p>
    <w:p w:rsidR="00813EC2" w:rsidRDefault="00C7540A">
      <w:pPr>
        <w:numPr>
          <w:ilvl w:val="0"/>
          <w:numId w:val="6"/>
        </w:numPr>
        <w:spacing w:after="280" w:line="240" w:lineRule="auto"/>
        <w:ind w:left="70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Заяву університету, підписану ректором після погодження з НМР (див. Додаток 1).</w:t>
      </w:r>
    </w:p>
    <w:p w:rsidR="00813EC2" w:rsidRDefault="00C7540A">
      <w:p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Вимоги до пакету документів:</w:t>
      </w:r>
    </w:p>
    <w:p w:rsidR="00813EC2" w:rsidRDefault="00C7540A">
      <w:p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https://register.nqa.gov.ua/profesijni-kvalifikaciyi-zvo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3EC2" w:rsidRDefault="00C754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Вимоги до присвоєння професійної кваліфікації у разі відсутності професійного стандарту та опису професії у ДКХП (незалежно від наявності професійної кваліфікації в ДК 003:2010)</w:t>
      </w: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Перевірити наявність відповідної професійної кваліфікації у Класифікаторі професій (ДК 003:2010) з урахуванням усіх змін (</w:t>
      </w:r>
      <w:hyperlink r:id="rId23" w:anchor="Text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https://zakon.rada.gov.ua/rada/show/va327609-10#Text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Наприклад професійна кваліфікація “Розробник програмного забезпечення” (ДК 2132.2) відсутня в редакції Класифікатора </w:t>
      </w:r>
      <w:hyperlink r:id="rId24" w:anchor="Text">
        <w:r>
          <w:rPr>
            <w:rFonts w:ascii="Times New Roman" w:eastAsia="Times New Roman" w:hAnsi="Times New Roman" w:cs="Times New Roman"/>
            <w:i/>
            <w:sz w:val="28"/>
            <w:szCs w:val="28"/>
            <w:u w:val="single"/>
          </w:rPr>
          <w:t>https://zakon.rada.gov.ua/rada/show/va327609-10#Text</w:t>
        </w:r>
      </w:hyperlink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Додаток А, але вона внесена Зміною №13 до Класифікатора Наказом Міністерства економіки </w:t>
      </w:r>
      <w:hyperlink r:id="rId25" w:anchor="n2">
        <w:r>
          <w:rPr>
            <w:rFonts w:ascii="Times New Roman" w:eastAsia="Times New Roman" w:hAnsi="Times New Roman" w:cs="Times New Roman"/>
            <w:i/>
            <w:sz w:val="28"/>
            <w:szCs w:val="28"/>
            <w:u w:val="single"/>
          </w:rPr>
          <w:t>№ 1410 від 16.01.2024</w:t>
        </w:r>
      </w:hyperlink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У разі наявності обраної професійної кваліфікації у Класифікаторі (з урахуванням змін):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4.2.1. Переконатися у відсутності затвердженого професійного стандарту для обраної професійної кваліфікації в Реєстрі професійних стандартів (</w:t>
      </w:r>
      <w:hyperlink r:id="rId2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https://register.nqa.gov.ua/profstandarts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13EC2" w:rsidRDefault="00C754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Якщо стандарт наявний, то повернутися до розділу 2 цієї інструкції.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4.2.2. Переконатися у відсутності опису відповідної професійної кваліфікації у Довіднику кваліфікаційних характеристик професій працівників (ДКХП) (Додаток Б, В </w:t>
      </w:r>
      <w:hyperlink r:id="rId27" w:anchor="Text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https://zakon.rada.gov.ua/rada/show/va327609-10#Text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28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https://zakon.rada.gov.ua/rada/file/text/63/f335720n22.doc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Якщо опис наявний, то повернутися до розділу 3 цієї інструкції.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 Знайти відповідність у міжнародних класифікаторах ESCO/ISCO (</w:t>
      </w:r>
      <w:hyperlink r:id="rId29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https://esco.ec.europa.eu/en/classification/occupation_main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) та визначити код кваліфікації (ISCO-08, ESCO). 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Наприклад, на сторінці</w:t>
      </w:r>
    </w:p>
    <w:p w:rsidR="00813EC2" w:rsidRDefault="007B5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30">
        <w:r w:rsidR="00C7540A">
          <w:rPr>
            <w:rFonts w:ascii="Times New Roman" w:eastAsia="Times New Roman" w:hAnsi="Times New Roman" w:cs="Times New Roman"/>
            <w:i/>
            <w:sz w:val="28"/>
            <w:szCs w:val="28"/>
            <w:u w:val="single"/>
          </w:rPr>
          <w:t>https://esco.ec.europa.eu/en/classification/occupation?uri=http://data.europa.eu/esco/occupation/f2b15a0e-e65a-438a-affb-29b9d50b77d1</w:t>
        </w:r>
      </w:hyperlink>
      <w:r w:rsidR="00C7540A">
        <w:rPr>
          <w:rFonts w:ascii="Times New Roman" w:eastAsia="Times New Roman" w:hAnsi="Times New Roman" w:cs="Times New Roman"/>
          <w:i/>
          <w:sz w:val="28"/>
          <w:szCs w:val="28"/>
        </w:rPr>
        <w:t xml:space="preserve">  подано опис кваліфікації 2512.4 </w:t>
      </w:r>
      <w:proofErr w:type="spellStart"/>
      <w:r w:rsidR="00C7540A">
        <w:rPr>
          <w:rFonts w:ascii="Times New Roman" w:eastAsia="Times New Roman" w:hAnsi="Times New Roman" w:cs="Times New Roman"/>
          <w:i/>
          <w:sz w:val="28"/>
          <w:szCs w:val="28"/>
        </w:rPr>
        <w:t>Software</w:t>
      </w:r>
      <w:proofErr w:type="spellEnd"/>
      <w:r w:rsidR="00C7540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7540A">
        <w:rPr>
          <w:rFonts w:ascii="Times New Roman" w:eastAsia="Times New Roman" w:hAnsi="Times New Roman" w:cs="Times New Roman"/>
          <w:i/>
          <w:sz w:val="28"/>
          <w:szCs w:val="28"/>
        </w:rPr>
        <w:t>Developer</w:t>
      </w:r>
      <w:proofErr w:type="spellEnd"/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4.4. Назва(-и) професійної(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-их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кваліфікації(-й), зазначеної(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-их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в ОП, якої(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-их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стосується цей Порядок, має(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-ють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відповідати: чинному Класифікатору професій або ESCO/ISCO (за умови відсутності назви професійної кваліфікації в КП). 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описі ОП назву(-и) наводити українською (як правило, в чоловічому роді) та англійською мовами.</w:t>
      </w:r>
    </w:p>
    <w:p w:rsidR="00813EC2" w:rsidRDefault="00C754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4.5. Переліки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також знань, умінь і навичок, формування й досягнення яких є підставою для присвоєння професійної кваліфікації, що відповідають відомостям із баз даних ISCO/ESCO, розміщені на сторінці відповідної кваліфікації на сайті </w:t>
      </w:r>
      <w:hyperlink r:id="rId31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https://esco.ec.europa.eu/en/classification/occupation_main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(див. рис. 4, 5) при натисканні на коротку назву кожного результату навчання чи компетентності отримуємо їх повне формулювання. </w:t>
      </w:r>
    </w:p>
    <w:p w:rsidR="00813EC2" w:rsidRDefault="00C754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описі ОП потрібно навести усі обов’язкові компетентності (див. п.1.3 Додатка 5) та знання (див. п.1.6 Додатка 5) наводити українською за офіційним перекладом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переключення мов у правому верхньому куті сторінки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813EC2" w:rsidRDefault="00C754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418523" cy="2126246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8523" cy="2126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EC2" w:rsidRDefault="00C754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Рисунок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Перехід до офіційного перекладу (правий верхній кут сторінки)</w:t>
      </w:r>
    </w:p>
    <w:p w:rsidR="00813EC2" w:rsidRDefault="00813E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6030920" cy="4445000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EC2" w:rsidRDefault="00C754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Рисунок 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Переліки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(умінь і навичок), а також знань, досягнення яких є підставою для присвоєння професійної кваліфікації, що відповідають відомостям із баз даних ISCO/ESCO.</w:t>
      </w:r>
    </w:p>
    <w:p w:rsidR="00813EC2" w:rsidRDefault="00813E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4.6. Перелік трудових функцій можна знайти в ISCO/ESCO (див. рис. 6) або в довіднику ILO (див. рис. 7): </w:t>
      </w:r>
      <w:hyperlink r:id="rId34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https://www.ilo.org/sites/default/files/wcmsp5/groups/public/@dgreports/@dcomm/@publ/documents/publication/wcms_172572.pdf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). Трудові функції подаються для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професій.</w:t>
      </w:r>
    </w:p>
    <w:p w:rsidR="00813EC2" w:rsidRDefault="00C754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описі ОП перелік трудових функцій наводити українською мовою. </w:t>
      </w: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361623" cy="5598787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623" cy="5598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6.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Трудові функції для групи професій на сайті ESCO 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3960347" cy="6241712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347" cy="6241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Рисунок 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Трудові функції групи професій в ILO 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Зверніть увагу, що трудові функції стосуються групи професій, а не  окремої професійної кваліфікації.</w:t>
      </w:r>
    </w:p>
    <w:p w:rsidR="00813EC2" w:rsidRPr="009F69BE" w:rsidRDefault="00C7540A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обґрунтування професійної кваліфікації необхідно використовувати перелік трудових функцій ESCO/ISCO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шляхом відбору лише тих функцій, що безпосередньо стосуються заявленої професійної кваліфікації. У такому разі правильність вибору повинна бути підтверджена в листі підтримки роботодавців, який подає оцінку потреби у працівниках з такою професійною кваліфікацією на ринку праці національного та/або регіонального рівнів від роботодавців та/або їх об’єднань (див. Додаток 7).</w:t>
      </w:r>
    </w:p>
    <w:p w:rsidR="00813EC2" w:rsidRDefault="00C7540A">
      <w:pP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4.7. Сформувати переліки відповідних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програмних результатів навчання та освітніх компонент за ОП, що забезпечують досягнення професійних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трудових функцій та знань (знайдених на кроках 4.5-4.6)  (див. п. 1.5, 1.6, 2 Додатка 5).</w:t>
      </w:r>
    </w:p>
    <w:p w:rsidR="00813EC2" w:rsidRDefault="00C7540A">
      <w:pP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4.8. Сформувати матриці відповідності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знань, які необхідні для присвоєння професійної кваліфікації (знайдених на кроці 4.5) і освітніх компонентів ОП (див. п. 3, 4 Додатка 5).</w:t>
      </w:r>
    </w:p>
    <w:p w:rsidR="00813EC2" w:rsidRDefault="00C7540A">
      <w:pP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4.9 Сформувати матрицю відповідності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ОП і професійних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ESCO, знайдених на кроці 4.5 (див. п. 5 Додатка 5).</w:t>
      </w:r>
    </w:p>
    <w:p w:rsidR="00813EC2" w:rsidRDefault="00C7540A">
      <w:pP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9F69BE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 Сформувати матрицю відповідності програмних результатів навчання за ОП і програмних результатів за ESCO, знайдених на кроці 4.5 (див. п. 6 Додатка 5).</w:t>
      </w:r>
    </w:p>
    <w:p w:rsidR="00813EC2" w:rsidRDefault="009F69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4.11</w:t>
      </w:r>
      <w:r w:rsidR="00C7540A">
        <w:rPr>
          <w:rFonts w:ascii="Times New Roman" w:eastAsia="Times New Roman" w:hAnsi="Times New Roman" w:cs="Times New Roman"/>
          <w:sz w:val="28"/>
          <w:szCs w:val="28"/>
        </w:rPr>
        <w:t xml:space="preserve">. Відповідно </w:t>
      </w:r>
      <w:r>
        <w:rPr>
          <w:rFonts w:ascii="Times New Roman" w:eastAsia="Times New Roman" w:hAnsi="Times New Roman" w:cs="Times New Roman"/>
          <w:sz w:val="28"/>
          <w:szCs w:val="28"/>
        </w:rPr>
        <w:t>до сформованої на кроках 4.5-4.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  <w:r w:rsidR="00C7540A">
        <w:rPr>
          <w:rFonts w:ascii="Times New Roman" w:eastAsia="Times New Roman" w:hAnsi="Times New Roman" w:cs="Times New Roman"/>
          <w:sz w:val="28"/>
          <w:szCs w:val="28"/>
        </w:rPr>
        <w:t xml:space="preserve"> інформації оформити характеристику (зміст) професійної (професійних) кваліфікації (кваліфікацій) (див. Додаток 2), зазначити інформацію про відповідну професійну кваліфікацію у профілі ОП (див. Додаток 3), описати розділ 3.1 ОП (див. Додаток 4) та Додаток до ОП (див. Додаток 5).</w:t>
      </w: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Комплект документів повинен містити:</w:t>
      </w:r>
    </w:p>
    <w:p w:rsidR="00813EC2" w:rsidRDefault="00C7540A">
      <w:pPr>
        <w:numPr>
          <w:ilvl w:val="0"/>
          <w:numId w:val="18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Характеристику (зміст) професійної (професійних) кваліфікації (кваліфікацій) за формою згідно з Додатком 2.</w:t>
      </w:r>
    </w:p>
    <w:p w:rsidR="00813EC2" w:rsidRDefault="00C7540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 (нової редакції опису) ОП з обов’язковим розділом «3.1. Присвоєння професійної кваліфікації» (див. Додаток 4) та пунктом «Професійна кваліфікація» чи «Часткова професійна кваліфікація»  в профілі ОП (див. Додаток 3).</w:t>
      </w:r>
    </w:p>
    <w:p w:rsidR="00813EC2" w:rsidRDefault="00C7540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 навчально-методичної (науково-методичної) комісії структурного підрозділу про можливість формування в ОП визначених професійним стандартом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3EC2" w:rsidRDefault="00C7540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Щонайменше два відгуки роботодавців та/або їх об’єднань, у яких подається оцінка змісту ОП щодо достатнього обсягу формування необхідних професійних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присвоєння кожної із визначених в описі ОП професійних кваліфікацій.</w:t>
      </w:r>
    </w:p>
    <w:p w:rsidR="00813EC2" w:rsidRDefault="00C7540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Обґрунтування необхідності впровадження професійної кваліфікації, у якому подається аналіз потреби у працівниках кожної із визначених в описі ОП професійних кваліфікацій на ринку праці національного та/або регіонального рівнів (див. Додаток 6). Цей документ формується на рівні структурного підрозділу.</w:t>
      </w:r>
    </w:p>
    <w:p w:rsidR="00813EC2" w:rsidRDefault="00C7540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Оцінка потреби у працівниках з такою професійною кваліфікацією на ринку праці національного та/або регіонального рівнів від роботодавців та/або їх об’єднань (див. Додаток 7). Лист роботодавців, у якому подається оцінка потреби у працівниках з такою професійною кваліфікацією на ринку праці національного та/або регіонального рівнів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від роботодавців та/або їх об’єднань (у Додатку 7 подано шаблон  звернення до роботодавців).</w:t>
      </w:r>
    </w:p>
    <w:p w:rsidR="00813EC2" w:rsidRDefault="00C7540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Заяву університету, підписану ректором після погодження з НМР (див. Додаток 1).</w:t>
      </w:r>
    </w:p>
    <w:p w:rsidR="00813EC2" w:rsidRDefault="00813EC2">
      <w:p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Вимоги до пакету документів:</w:t>
      </w:r>
    </w:p>
    <w:p w:rsidR="00813EC2" w:rsidRDefault="00C7540A">
      <w:p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7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https://register.nqa.gov.ua/profesijni-kvalifikaciyi-zvo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13EC2" w:rsidRDefault="00C754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Відмова від подання документів до Національного агентства кваліфікацій для погодження присвоєння професійних кваліфікацій</w:t>
      </w:r>
    </w:p>
    <w:p w:rsidR="00813EC2" w:rsidRDefault="00C7540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Відмова від подання документів  для погодження присвоєння професійної кваліфікації, яка була зазначена в описі ОП (редакції, що була введена у дію раніше ніж у 2025 році), допускається винятково за наявності обґрунтованих підстав і за умови внесення відповідних змін до описів ОП.</w:t>
      </w:r>
    </w:p>
    <w:p w:rsidR="00813EC2" w:rsidRDefault="00C7540A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Такими підставами можуть бути:</w:t>
      </w:r>
    </w:p>
    <w:p w:rsidR="00813EC2" w:rsidRDefault="00C754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Скасування професійної кваліфікації у Класифікаторі професій ДК 003:2010 (зміни 1-14 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38" w:anchor="Text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https://zakon.rada.gov.ua/rada/show/va327609-10#Text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)).</w:t>
      </w:r>
    </w:p>
    <w:p w:rsidR="00813EC2" w:rsidRDefault="00C754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Зміна назви професійної кваліфікації у Класифікаторі професій ДК 003:2010 (зміни 1-14 </w:t>
      </w:r>
      <w:hyperlink r:id="rId39" w:anchor="Text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https://zakon.rada.gov.ua/rada/show/va327609-10#Text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13EC2" w:rsidRDefault="00C754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Інші зміни у Класифікаторі професій ДК 003:2010 (зміни 1-14</w:t>
      </w:r>
    </w:p>
    <w:p w:rsidR="00813EC2" w:rsidRDefault="007B53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40" w:anchor="Text">
        <w:r w:rsidR="00C7540A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https://zakon.rada.gov.ua/rada/show/va327609-10#Text</w:t>
        </w:r>
      </w:hyperlink>
      <w:r w:rsidR="00C7540A">
        <w:rPr>
          <w:rFonts w:ascii="Times New Roman" w:eastAsia="Times New Roman" w:hAnsi="Times New Roman" w:cs="Times New Roman"/>
          <w:sz w:val="28"/>
          <w:szCs w:val="28"/>
        </w:rPr>
        <w:t>), які можуть обґрунтувати відмову від присвоєння професійної кваліфікації.</w:t>
      </w:r>
    </w:p>
    <w:p w:rsidR="00813EC2" w:rsidRDefault="00C754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Відсутність відповідної професійної кваліфікації у чинному ДК 003 з інших причин.</w:t>
      </w:r>
    </w:p>
    <w:p w:rsidR="00813EC2" w:rsidRDefault="00C754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Уведення в дію професійного стандарту для даної професійної кваліфікації (</w:t>
      </w:r>
      <w:hyperlink r:id="rId41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https://register.nqa.gov.ua/profstandarts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 після затвердження редакції ОП та неможливість забезпечити його вимоги.</w:t>
      </w:r>
    </w:p>
    <w:p w:rsidR="00813EC2" w:rsidRDefault="00C754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Підтверджену відсутність попиту на заявлену професійну кваліфікацію (за умови надання і роботодавцями негативної оцінки потреби професійної кваліфікації на ринку праці (див. Додаток 7)).</w:t>
      </w:r>
    </w:p>
    <w:p w:rsidR="00813EC2" w:rsidRDefault="00C754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Інші обґрунтовані підстави.</w:t>
      </w:r>
    </w:p>
    <w:p w:rsidR="00813EC2" w:rsidRDefault="00C7540A">
      <w:pPr>
        <w:spacing w:before="280" w:after="28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Комплект документів повинен містити:</w:t>
      </w:r>
    </w:p>
    <w:p w:rsidR="00813EC2" w:rsidRDefault="00C754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Подання на ім’я ректора, підписане керівником структурного підрозділу,  на внесення змін до опису ОП із обґрунтуванням причини відмови від подання документів до НАК.</w:t>
      </w:r>
    </w:p>
    <w:p w:rsidR="00813EC2" w:rsidRDefault="00C754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 ОП з приміткою біля умов присвоєння професійної кваліфікації про причину відмови та реквізити наказу (після погодження)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3EC2" w:rsidRDefault="00C754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hanging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Підтверджуючі документи, за наявності.</w:t>
      </w:r>
    </w:p>
    <w:p w:rsidR="00813EC2" w:rsidRDefault="00C7540A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 відмові гарант має забезпечити оприлюднення оновленого опису ОП та інформування здобувачів про зміни. Внесення змін до навчального плану з приміткою біля зазначеної професійної кваліфікації про причину відмови та реквізити наказу (після схвалення змін ОП).</w:t>
      </w:r>
    </w:p>
    <w:p w:rsidR="00813EC2" w:rsidRDefault="00C7540A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Заміна професійної кваліфікації в описах ОП, затверджених до 2025 р.</w:t>
      </w:r>
    </w:p>
    <w:p w:rsidR="00813EC2" w:rsidRDefault="00C7540A">
      <w:pP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6.1. Сформувати пакет документів про відмову від професійної кваліфікації, зазначеної у чинному описі згідно з розділом 5 цієї інструкції.</w:t>
      </w:r>
    </w:p>
    <w:p w:rsidR="00813EC2" w:rsidRDefault="00C7540A">
      <w:pP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6.2. Сформувати пакет документів про введення нової професійної кваліфікації згідно з розділами 2-4 цієї інструкції.</w:t>
      </w:r>
    </w:p>
    <w:p w:rsidR="00813EC2" w:rsidRDefault="00813EC2">
      <w:pP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1F5936">
      <w:pPr>
        <w:spacing w:after="0"/>
        <w:ind w:right="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Укладачі: Людмила ОМЕЛЬЧУК</w:t>
      </w:r>
    </w:p>
    <w:p w:rsidR="001F5936" w:rsidRDefault="001F5936" w:rsidP="001F5936">
      <w:pPr>
        <w:spacing w:after="0"/>
        <w:ind w:left="1276" w:right="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Оксана ЗУБАНЬ</w:t>
      </w:r>
    </w:p>
    <w:p w:rsidR="001F5936" w:rsidRDefault="001F5936" w:rsidP="001F5936">
      <w:pPr>
        <w:spacing w:after="0"/>
        <w:ind w:left="1276" w:right="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Ірина МАСЛІКОВА</w:t>
      </w:r>
    </w:p>
    <w:p w:rsidR="001F5936" w:rsidRPr="001F5936" w:rsidRDefault="001F5936" w:rsidP="001F5936">
      <w:pPr>
        <w:spacing w:after="0"/>
        <w:ind w:left="1276" w:right="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Дарія ЩЕГЛЮК</w:t>
      </w:r>
    </w:p>
    <w:p w:rsidR="00813EC2" w:rsidRPr="001F5936" w:rsidRDefault="00C7540A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813EC2" w:rsidRDefault="00C7540A">
      <w:pPr>
        <w:ind w:left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Додаток 1. </w:t>
      </w:r>
      <w:r>
        <w:rPr>
          <w:rFonts w:ascii="Times New Roman" w:eastAsia="Times New Roman" w:hAnsi="Times New Roman" w:cs="Times New Roman"/>
          <w:sz w:val="28"/>
          <w:szCs w:val="28"/>
        </w:rPr>
        <w:t>Бланк Заяви (після схвалення НМР) (</w:t>
      </w:r>
      <w:hyperlink r:id="rId42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https://docs.google.com/document/d/1nVCkSU10xyXhR0FGYJdslThOZgUsAaSV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13EC2" w:rsidRDefault="00813EC2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813EC2" w:rsidRDefault="00C7540A">
      <w:pPr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 бланку Університету)</w:t>
      </w:r>
    </w:p>
    <w:p w:rsidR="00813EC2" w:rsidRDefault="00813EC2">
      <w:pPr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813EC2" w:rsidRDefault="00C7540A">
      <w:pPr>
        <w:spacing w:after="240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813EC2" w:rsidRDefault="00C7540A">
      <w:pPr>
        <w:spacing w:after="240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Національне агентство кваліфікацій</w:t>
      </w:r>
    </w:p>
    <w:p w:rsidR="00813EC2" w:rsidRDefault="00C7540A">
      <w:pPr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А Я В А</w:t>
      </w:r>
    </w:p>
    <w:p w:rsidR="00813EC2" w:rsidRDefault="00C7540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Просимо погодити присвоєння професійної (професійних) кваліфікації (кваліфікацій) ________________________________________________________</w:t>
      </w:r>
    </w:p>
    <w:p w:rsidR="00813EC2" w:rsidRDefault="00C7540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(назва професійної (професійних) кваліфікації (кваліфікацій)</w:t>
      </w:r>
    </w:p>
    <w:p w:rsidR="00813EC2" w:rsidRDefault="00C7540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____________________________________________________________________,</w:t>
      </w:r>
    </w:p>
    <w:p w:rsidR="00813EC2" w:rsidRDefault="00C75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присвоєння якої (яких) передбачено освітньою програмою __________________</w:t>
      </w:r>
    </w:p>
    <w:p w:rsidR="00813EC2" w:rsidRDefault="00C7540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13EC2" w:rsidRDefault="00C754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(назва освітньої програми)</w:t>
      </w:r>
    </w:p>
    <w:p w:rsidR="00813EC2" w:rsidRDefault="00C75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підготовки фахівців у сфері вищої освіти _______________________________</w:t>
      </w:r>
    </w:p>
    <w:p w:rsidR="00813EC2" w:rsidRDefault="00C75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(зазначається рівень вищої освіти)</w:t>
      </w:r>
    </w:p>
    <w:p w:rsidR="00813EC2" w:rsidRDefault="00813E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13EC2" w:rsidRDefault="00C75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спеціальністю ____________________ галузі знань ______________________</w:t>
      </w:r>
    </w:p>
    <w:p w:rsidR="00813EC2" w:rsidRDefault="00C75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(шифр та назва спеціальності)                               (шифр та назва галузі знань)</w:t>
      </w:r>
    </w:p>
    <w:p w:rsidR="00813EC2" w:rsidRDefault="00813E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13EC2" w:rsidRDefault="00C7540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Обсяг освітньої програми __________________ кредитів Європейської кредитної трансферно-накопичувальної системи</w:t>
      </w:r>
    </w:p>
    <w:p w:rsidR="00813EC2" w:rsidRDefault="00813E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13EC2" w:rsidRDefault="00C7540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Заявник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Київський національний університет імені Тараса Шевченка</w:t>
      </w:r>
    </w:p>
    <w:p w:rsidR="00813EC2" w:rsidRDefault="00C754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(найменування закладу вищої освіти)</w:t>
      </w:r>
    </w:p>
    <w:p w:rsidR="00813EC2" w:rsidRDefault="00813E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3EC2" w:rsidRDefault="00C7540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Ідентифікаційний код заявника згідно з ЄДРПОУ 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02070944</w:t>
      </w:r>
      <w:r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:rsidR="00813EC2" w:rsidRDefault="00813E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13EC2" w:rsidRDefault="00C75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Місце провадження освітньої діяльності: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вул. Володимирська, 60, м. Київ, 01033, Україна (або фактична адреса факультету/інституту)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3EC2" w:rsidRDefault="00C7540A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Додаток: </w:t>
      </w:r>
    </w:p>
    <w:p w:rsidR="00813EC2" w:rsidRDefault="00C7540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Обґрунтування Київським національним університетом імені Тараса Шевченка необхідності впровадження професійної (професійних) кваліфікації (кваліфікацій)________________.</w:t>
      </w:r>
    </w:p>
    <w:p w:rsidR="00813EC2" w:rsidRDefault="00C7540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Характеристика (зміст) професійної (професійних) кваліфікації (кваліфікацій) за формою згідно з додатком 2.</w:t>
      </w:r>
    </w:p>
    <w:p w:rsidR="00813EC2" w:rsidRDefault="00C7540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bookmark=id.o8g8mu3lbnx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Копія освітньо-професійної програми, що передбачає присвоєння відповідної професійної (професійних) кваліфікації (кваліфікацій).</w:t>
      </w:r>
    </w:p>
    <w:p w:rsidR="00813EC2" w:rsidRDefault="00C7540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bookmark=id.lrvc42ido9ke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Копія (копії) листа (листів) роботодавців та/або їх об’єднань про потребу у професійній (професійних) кваліфікації (кваліфікаціях) на ринку праці на національному та/або регіональному рівні</w:t>
      </w:r>
      <w:bookmarkStart w:id="4" w:name="bookmark=id.lxha36nh4fgh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3EC2" w:rsidRDefault="00C7540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Копія затвердженого Київським національним університетом імені Тараса Шевченка порядку присвоєння професійних кваліфікацій здобувачам вищої освіти Київського національного університету імені Тараса Шевченка за результатами опанування освітніх програм (реквізити документа).</w:t>
      </w: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3EC2" w:rsidRDefault="00813EC2">
      <w:pPr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13EC2" w:rsidRDefault="00813EC2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813EC2" w:rsidRDefault="00C7540A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___________________</w:t>
      </w:r>
    </w:p>
    <w:p w:rsidR="00813EC2" w:rsidRDefault="00C7540A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(найменування посади керівника)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(власне ім’я та прізвище)</w:t>
      </w:r>
    </w:p>
    <w:p w:rsidR="00813EC2" w:rsidRDefault="00813EC2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813EC2" w:rsidRDefault="00C7540A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Виконавець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______________________________________________________</w:t>
      </w:r>
    </w:p>
    <w:p w:rsidR="00813EC2" w:rsidRDefault="00C7540A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(власне ім’я та прізвище, номер телефону, адреса електронної пошти)</w:t>
      </w:r>
    </w:p>
    <w:p w:rsidR="00813EC2" w:rsidRDefault="00C7540A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13EC2" w:rsidRDefault="00C7540A">
      <w:pPr>
        <w:widowControl w:val="0"/>
        <w:spacing w:before="108"/>
        <w:ind w:left="396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Додаток 2. </w:t>
      </w:r>
      <w:r>
        <w:rPr>
          <w:rFonts w:ascii="Times New Roman" w:eastAsia="Times New Roman" w:hAnsi="Times New Roman" w:cs="Times New Roman"/>
          <w:sz w:val="28"/>
          <w:szCs w:val="28"/>
        </w:rPr>
        <w:t>Приклад заповнення характеристики (змісту) професійної кваліфікації (</w:t>
      </w:r>
      <w:hyperlink r:id="rId43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https://docs.google.com/document/d/1OaQj2BSmWRB0Leo8vaNBqGp_Kk5IElbJ/edit?usp=drive_link&amp;ouid=103799280222328658185&amp;rtpof=true&amp;sd=true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13EC2" w:rsidRDefault="00813E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3EC2" w:rsidRDefault="00C7540A">
      <w:pPr>
        <w:spacing w:line="235" w:lineRule="auto"/>
        <w:ind w:right="1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Характеристика професійної кваліфікації має бути єдиною і сталою для кожної професійної кваліфікації на певному рівні НРК. </w:t>
      </w:r>
    </w:p>
    <w:p w:rsidR="00813EC2" w:rsidRDefault="00C754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ХАРАКТЕРИСТИКА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(зміст) професійної кваліфікації</w:t>
      </w:r>
    </w:p>
    <w:p w:rsidR="00813EC2" w:rsidRDefault="00813EC2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fffffff8"/>
        <w:tblW w:w="9885" w:type="dxa"/>
        <w:tblInd w:w="-11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20"/>
        <w:gridCol w:w="4665"/>
        <w:gridCol w:w="4800"/>
      </w:tblGrid>
      <w:tr w:rsidR="00813EC2">
        <w:trPr>
          <w:trHeight w:val="917"/>
        </w:trPr>
        <w:tc>
          <w:tcPr>
            <w:tcW w:w="420" w:type="dxa"/>
          </w:tcPr>
          <w:p w:rsidR="00813EC2" w:rsidRDefault="00C7540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4665" w:type="dxa"/>
          </w:tcPr>
          <w:p w:rsidR="00813EC2" w:rsidRDefault="00C75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 професійної кваліфікації</w:t>
            </w:r>
          </w:p>
        </w:tc>
        <w:tc>
          <w:tcPr>
            <w:tcW w:w="4800" w:type="dxa"/>
          </w:tcPr>
          <w:p w:rsidR="00813EC2" w:rsidRDefault="00C75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Розробник програмного забезпечення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</w:tr>
      <w:tr w:rsidR="00813EC2">
        <w:tc>
          <w:tcPr>
            <w:tcW w:w="420" w:type="dxa"/>
          </w:tcPr>
          <w:p w:rsidR="00813EC2" w:rsidRDefault="00C7540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665" w:type="dxa"/>
          </w:tcPr>
          <w:p w:rsidR="00813EC2" w:rsidRDefault="00C75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Рівень Національної рамки кваліфікацій</w:t>
            </w:r>
          </w:p>
        </w:tc>
        <w:tc>
          <w:tcPr>
            <w:tcW w:w="4800" w:type="dxa"/>
          </w:tcPr>
          <w:p w:rsidR="00813EC2" w:rsidRDefault="00C75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рівень НРК </w:t>
            </w:r>
          </w:p>
        </w:tc>
      </w:tr>
      <w:tr w:rsidR="00813EC2">
        <w:tc>
          <w:tcPr>
            <w:tcW w:w="420" w:type="dxa"/>
          </w:tcPr>
          <w:p w:rsidR="00813EC2" w:rsidRDefault="00C7540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665" w:type="dxa"/>
          </w:tcPr>
          <w:p w:rsidR="00813EC2" w:rsidRDefault="00C75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Обсяг професійної кваліфікації (повна або часткова)</w:t>
            </w:r>
          </w:p>
        </w:tc>
        <w:tc>
          <w:tcPr>
            <w:tcW w:w="4800" w:type="dxa"/>
          </w:tcPr>
          <w:p w:rsidR="00813EC2" w:rsidRDefault="00C75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Повна </w:t>
            </w:r>
          </w:p>
        </w:tc>
      </w:tr>
      <w:tr w:rsidR="00813EC2">
        <w:tc>
          <w:tcPr>
            <w:tcW w:w="420" w:type="dxa"/>
          </w:tcPr>
          <w:p w:rsidR="00813EC2" w:rsidRDefault="00C7540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665" w:type="dxa"/>
          </w:tcPr>
          <w:p w:rsidR="00813EC2" w:rsidRDefault="00C75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Коротка характеристика (зміст) професійної кваліфікації (мета діяльності за професійною кваліфікацією, професійні компетентності, результати навчання)</w:t>
            </w:r>
          </w:p>
        </w:tc>
        <w:tc>
          <w:tcPr>
            <w:tcW w:w="4800" w:type="dxa"/>
          </w:tcPr>
          <w:p w:rsidR="00813EC2" w:rsidRDefault="00C7540A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Мета діяльності за професійною кваліфікацією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footnoteReference w:id="4"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впроваджують та програмують усі види програмних систем на основі готових специфікацій 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використовуючи сучасні мови програмування, інструменти та платформи; виконують завдання за встановленими методиками з відповідальністю за власні результати роботи.</w:t>
            </w:r>
          </w:p>
          <w:p w:rsidR="00813EC2" w:rsidRDefault="00C7540A" w:rsidP="001654B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Професійні компетентності: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="001654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Аналізувати специфікації ПЗ.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K2. Визначати вимоги споживачів.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K3. Визначати технічні вимоги.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K4. Інтерпретувати технічні вимоги.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K5. Про</w:t>
            </w:r>
            <w:r w:rsidR="001654B0">
              <w:rPr>
                <w:rFonts w:ascii="Times New Roman" w:eastAsia="Times New Roman" w:hAnsi="Times New Roman" w:cs="Times New Roman"/>
                <w:sz w:val="24"/>
                <w:szCs w:val="24"/>
              </w:rPr>
              <w:t>водити наукові дослідження.</w:t>
            </w:r>
            <w:r w:rsidR="001654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K6.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Створювати блок-схеми.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K7. Розробляти прототип ПЗ.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K8. Використовувати шаблони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проєктування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ПЗ.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K9. Користуватися програмними бібліотеками.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K10. Керувати інженерним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K11. Налагоджувати програмне забезпечення.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K12. Розробляти автоматизовані методи міграції.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K13. Використовувати спеціалізований інтерфейс застосунків.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K14. Користуватися програмним забезпеченням для технічного креслення.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K15. Використовувати інструменти автоматизованого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(CASE-засоби).</w:t>
            </w:r>
          </w:p>
          <w:p w:rsidR="00813EC2" w:rsidRDefault="0035634D" w:rsidP="001654B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Результати навчання (з</w:t>
            </w:r>
            <w:r w:rsidR="00C75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нання):</w:t>
            </w:r>
          </w:p>
          <w:p w:rsidR="00813EC2" w:rsidRDefault="00C7540A" w:rsidP="001654B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Вебсервіси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ЗН2. Засоби налагодження ІКТ.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ЗН3. Комп’ютерне програмування.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ЗН4. Технічні креслення.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ЗН5. Управління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ЗН6. Інженерні принципи.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ЗН7. Інженерні процеси.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ЗН8. Інструменти для управління конфігурацією ПЗ.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ЗН9. Інтегроване середовище розробки ПЗ.</w:t>
            </w:r>
          </w:p>
        </w:tc>
      </w:tr>
      <w:tr w:rsidR="00813EC2">
        <w:tc>
          <w:tcPr>
            <w:tcW w:w="420" w:type="dxa"/>
          </w:tcPr>
          <w:p w:rsidR="00813EC2" w:rsidRDefault="00C7540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4665" w:type="dxa"/>
          </w:tcPr>
          <w:p w:rsidR="00813EC2" w:rsidRDefault="00C75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 відповідності професійної (професійних) кваліфікації (кваліфікацій) кваліфікаційним вимогам, визначеним законодавством, кваліфікаційними характеристиками професій, відомостями з баз даних ISCO 08/ESCO, EUROPASS</w:t>
            </w:r>
          </w:p>
        </w:tc>
        <w:tc>
          <w:tcPr>
            <w:tcW w:w="4800" w:type="dxa"/>
          </w:tcPr>
          <w:p w:rsidR="00813EC2" w:rsidRDefault="00C754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Професійна кваліфікація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Розробник програмного забезпечення/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відповідає:</w:t>
            </w:r>
          </w:p>
          <w:p w:rsidR="00813EC2" w:rsidRDefault="00C754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ISCO 08/ESCO (2512.4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813EC2" w:rsidRDefault="00C7540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Режим доступу: </w:t>
            </w:r>
            <w:hyperlink r:id="rId4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https://esco.ec.europa.eu/en/classification/occupation?uri=http://data.europa.eu/esco/occupation/f2b15a0e-e65a-438a-affb-29b9d50b77d1</w:t>
              </w:r>
            </w:hyperlink>
          </w:p>
        </w:tc>
      </w:tr>
    </w:tbl>
    <w:p w:rsidR="00813EC2" w:rsidRDefault="00813EC2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813EC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813EC2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3707765" cy="4853253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4853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EC2" w:rsidRDefault="00C754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Д2.1. </w:t>
      </w:r>
      <w:r>
        <w:rPr>
          <w:rFonts w:ascii="Times New Roman" w:eastAsia="Times New Roman" w:hAnsi="Times New Roman" w:cs="Times New Roman"/>
          <w:sz w:val="28"/>
          <w:szCs w:val="28"/>
        </w:rPr>
        <w:t>Опис професійної кваліфікації</w:t>
      </w:r>
    </w:p>
    <w:p w:rsidR="00813EC2" w:rsidRDefault="00C7540A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813EC2" w:rsidRDefault="00C7540A">
      <w:pPr>
        <w:ind w:left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Додаток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 оформлення інформації про професійну кваліфікацію в профілі ОП</w:t>
      </w:r>
    </w:p>
    <w:p w:rsidR="00813EC2" w:rsidRDefault="00813EC2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3EC2" w:rsidRDefault="00C7540A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ПРОФІЛЬ ОСВІТНЬО-___________________ ПРОГРАМИ</w:t>
      </w:r>
    </w:p>
    <w:p w:rsidR="00813EC2" w:rsidRDefault="00C7540A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«_____________________________»</w:t>
      </w:r>
    </w:p>
    <w:p w:rsidR="00813EC2" w:rsidRDefault="00C7540A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зі спеціальності __________________________</w:t>
      </w:r>
    </w:p>
    <w:tbl>
      <w:tblPr>
        <w:tblStyle w:val="affffffffff9"/>
        <w:tblW w:w="9720" w:type="dxa"/>
        <w:tblInd w:w="-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042"/>
        <w:gridCol w:w="5678"/>
      </w:tblGrid>
      <w:tr w:rsidR="00813EC2">
        <w:trPr>
          <w:trHeight w:val="625"/>
        </w:trPr>
        <w:tc>
          <w:tcPr>
            <w:tcW w:w="97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13EC2" w:rsidRDefault="00C7540A">
            <w:pPr>
              <w:spacing w:before="240" w:after="240" w:line="276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– Загальна інформація</w:t>
            </w:r>
          </w:p>
        </w:tc>
      </w:tr>
      <w:tr w:rsidR="00813EC2">
        <w:trPr>
          <w:trHeight w:val="755"/>
        </w:trPr>
        <w:tc>
          <w:tcPr>
            <w:tcW w:w="404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13EC2" w:rsidRDefault="00C7540A">
            <w:pPr>
              <w:spacing w:before="240" w:after="240" w:line="276" w:lineRule="auto"/>
              <w:ind w:lef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Ступінь вищої освіти та назва кваліфікації </w:t>
            </w:r>
          </w:p>
        </w:tc>
        <w:tc>
          <w:tcPr>
            <w:tcW w:w="5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13EC2" w:rsidRDefault="00C7540A">
            <w:pPr>
              <w:spacing w:before="240" w:after="240"/>
              <w:ind w:left="141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без змін, цей пункт залишаємо як було, а після нього додаємо 2 нових пункти. </w:t>
            </w:r>
          </w:p>
        </w:tc>
      </w:tr>
      <w:tr w:rsidR="00813EC2">
        <w:trPr>
          <w:trHeight w:val="1050"/>
        </w:trPr>
        <w:tc>
          <w:tcPr>
            <w:tcW w:w="404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13EC2" w:rsidRDefault="00C7540A">
            <w:pPr>
              <w:spacing w:before="240" w:after="240" w:line="276" w:lineRule="auto"/>
              <w:ind w:left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Професійна (-і) кваліфікація (-ї) /  Часткова (-і) професійна (-і) кваліфікація (-ї)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13EC2" w:rsidRDefault="00C7540A">
            <w:pPr>
              <w:spacing w:before="240" w:after="240" w:line="276" w:lineRule="auto"/>
              <w:ind w:lef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 результатами опанування обов'язкової/вибіркової частини програми, за дотримання умов (див. підрозділ 3.1), може бути присвоєно професійну кваліфікацію  Назва українською мовою (як правило в чоловічому роді) / Назва англійською мовою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(код  __ за ISCO-08, ESCO/ ДК). </w:t>
            </w:r>
          </w:p>
          <w:p w:rsidR="00813EC2" w:rsidRDefault="00C7540A">
            <w:pPr>
              <w:spacing w:before="240" w:after="240" w:line="276" w:lineRule="auto"/>
              <w:ind w:lef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Погоджено НАК: Реквізити погодження (після завершення процедури). </w:t>
            </w:r>
          </w:p>
          <w:p w:rsidR="00813EC2" w:rsidRDefault="00C7540A">
            <w:pPr>
              <w:spacing w:before="240" w:after="240" w:line="276" w:lineRule="auto"/>
              <w:ind w:lef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Якщо такі відсутні, то пишемо « – »</w:t>
            </w:r>
          </w:p>
        </w:tc>
      </w:tr>
    </w:tbl>
    <w:p w:rsidR="00813EC2" w:rsidRDefault="00813E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розділі 4  – «Придатність випускників до працевлаштування та подальшого навчання» пункт прибрати (для ОП 2025 року) «Професійна кваліфікація»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 w:type="page"/>
      </w:r>
    </w:p>
    <w:p w:rsidR="00813EC2" w:rsidRDefault="00C7540A">
      <w:pPr>
        <w:ind w:left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Додаток 4.1.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 оформлення розділу 3.1 ОП за умови відсутності стандарту</w:t>
      </w:r>
    </w:p>
    <w:p w:rsidR="00813EC2" w:rsidRDefault="00C754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 Присвоєння професійної кваліфікації</w:t>
      </w:r>
    </w:p>
    <w:p w:rsidR="00813EC2" w:rsidRDefault="00C7540A">
      <w:pPr>
        <w:spacing w:before="240" w:after="24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обов’язковою частиною програми здобувачеві може бути присвоєна професійна кваліфікація «Розробник програмного забезпечення» /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(код 2512.4 за ISCO-08, ESCO).</w:t>
      </w:r>
    </w:p>
    <w:p w:rsidR="00813EC2" w:rsidRDefault="00C754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Рішення щодо виконання здобувачем освіти встановлених у цій програмі вимог для присвоєння професійної кваліфікації ухвалюється окремим рішенням екзаменаційної комісії під час підсумкової атестації. Рішення екзаменаційної комісії щодо відмови у присвоєнні здобувачеві освіти професійної кваліфікації є остаточним і може бути переглянуте тільки у випадку вчинених комісією порушень</w:t>
      </w:r>
    </w:p>
    <w:p w:rsidR="00813EC2" w:rsidRDefault="00C7540A">
      <w:pPr>
        <w:spacing w:before="240" w:after="24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обов’язковою частиною програми здобувачу може бути присвоєна професійна кваліфікація «Розробник програмного забезпечення» /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(код 2512.4 за ISCO-08, ESCO).</w:t>
      </w:r>
    </w:p>
    <w:p w:rsidR="00813EC2" w:rsidRDefault="00C7540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-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 складу екзаменаційної комісії входить якнайменш один член, що має досвід діяльності, яка передбачає наявність професійної кваліфікації «Розробник програмного забезпечення» /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або вищої.</w:t>
      </w:r>
    </w:p>
    <w:p w:rsidR="00813EC2" w:rsidRDefault="00C7540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-260" w:firstLine="7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Присвоєння професійної кваліфікації «Розробник програмного забезпечення» / 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 ухвалюється за обов’язкової присутності члена комісії із числа роботодавців консенсусом усіх присутніх членів екзаменаційної комісії за таких умов:</w:t>
      </w:r>
    </w:p>
    <w:p w:rsidR="00813EC2" w:rsidRDefault="00C7540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84"/>
        </w:tabs>
        <w:spacing w:after="0" w:line="240" w:lineRule="auto"/>
        <w:ind w:left="-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Успішне оволодіння фаховими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компетентностями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результатами навчання обов’язкових дисциплін ОК.17 «Інструментальні середовища та технології програмування», ОК.18 «Бази даних та бази знань» та ОК.20 «Архітектури програмних систем та технології їх розроблення» не нижче 75 балів.</w:t>
      </w:r>
    </w:p>
    <w:p w:rsidR="00813EC2" w:rsidRDefault="00C7540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84"/>
        </w:tabs>
        <w:spacing w:after="0" w:line="240" w:lineRule="auto"/>
        <w:ind w:left="-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Захист кваліфікаційної роботи бакалавра (ОК.23) з оцінкою не нижче 75 балів.</w:t>
      </w:r>
    </w:p>
    <w:p w:rsidR="00813EC2" w:rsidRDefault="00C7540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84"/>
        </w:tabs>
        <w:spacing w:after="0" w:line="240" w:lineRule="auto"/>
        <w:ind w:left="-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Проходження виробничої практики (ОК.22) обсягом не менше 6 кредитів ЄКТС з оцінкою не нижче 75 балів. </w:t>
      </w:r>
    </w:p>
    <w:p w:rsidR="00813EC2" w:rsidRDefault="00813EC2">
      <w:pPr>
        <w:widowControl w:val="0"/>
        <w:tabs>
          <w:tab w:val="left" w:pos="567"/>
        </w:tabs>
        <w:ind w:left="-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3EC2" w:rsidRDefault="00C7540A">
      <w:pPr>
        <w:widowControl w:val="0"/>
        <w:tabs>
          <w:tab w:val="left" w:pos="567"/>
        </w:tabs>
        <w:ind w:left="-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Отриманий під час виробничої практики з відривом від навчання практичний досвід повинен підтверджуватись засвідченими керівником практики та печаткою (за наявності) бази практики щоденником та звітом з практики із зазначенням виду, дати та тривалості виконання трудових функцій та завдань. Звіт з практики має підтверджувати успішне виконання практикантом не менш як двох третин трудових функцій, якими має володіти власник професійної кваліфікації «Розробник програмного забезпечення» /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»:</w:t>
      </w:r>
    </w:p>
    <w:p w:rsidR="00813EC2" w:rsidRDefault="00C7540A">
      <w:pPr>
        <w:tabs>
          <w:tab w:val="left" w:pos="567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А. Дослідження, аналіз і оцінювання вимог до програмних застосунків та операційних систем.</w:t>
      </w:r>
    </w:p>
    <w:p w:rsidR="00813EC2" w:rsidRDefault="00C7540A">
      <w:pPr>
        <w:tabs>
          <w:tab w:val="left" w:pos="567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Б. Дослідження,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розроблення комп’ютерних програмних систем.</w:t>
      </w:r>
    </w:p>
    <w:p w:rsidR="00813EC2" w:rsidRDefault="00C7540A">
      <w:pPr>
        <w:tabs>
          <w:tab w:val="left" w:pos="567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В. Модифікація існуючого програмного забезпечення для виправлення помилок, адаптації до нового обладнання або оновлення інтерфейсів і підвищення продуктивності.</w:t>
      </w:r>
    </w:p>
    <w:p w:rsidR="00813EC2" w:rsidRDefault="00C7540A">
      <w:pPr>
        <w:tabs>
          <w:tab w:val="left" w:pos="567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13EC2">
          <w:headerReference w:type="default" r:id="rId46"/>
          <w:pgSz w:w="11906" w:h="16838"/>
          <w:pgMar w:top="1134" w:right="707" w:bottom="1134" w:left="1701" w:header="720" w:footer="136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Г. Розроблення технічної документації.</w:t>
      </w:r>
    </w:p>
    <w:p w:rsidR="00813EC2" w:rsidRDefault="00C7540A">
      <w:pPr>
        <w:ind w:left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Додаток 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 оформлення Додатка до освітньої програми з описом професійної кваліфікації</w:t>
      </w:r>
    </w:p>
    <w:p w:rsidR="00813EC2" w:rsidRDefault="00813EC2">
      <w:pPr>
        <w:widowControl w:val="0"/>
        <w:shd w:val="clear" w:color="auto" w:fill="FFFFFF"/>
        <w:spacing w:before="240" w:after="240" w:line="240" w:lineRule="auto"/>
        <w:ind w:left="453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3EC2" w:rsidRDefault="00C7540A">
      <w:pPr>
        <w:widowControl w:val="0"/>
        <w:shd w:val="clear" w:color="auto" w:fill="FFFFFF"/>
        <w:spacing w:before="240" w:after="240" w:line="240" w:lineRule="auto"/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Розглянуто та затверджено</w:t>
      </w:r>
    </w:p>
    <w:p w:rsidR="00813EC2" w:rsidRDefault="00C7540A">
      <w:pPr>
        <w:widowControl w:val="0"/>
        <w:shd w:val="clear" w:color="auto" w:fill="FFFFFF"/>
        <w:spacing w:before="240" w:after="240" w:line="240" w:lineRule="auto"/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засіданні Вченої ради</w:t>
      </w:r>
    </w:p>
    <w:p w:rsidR="00813EC2" w:rsidRDefault="00C7540A">
      <w:pPr>
        <w:widowControl w:val="0"/>
        <w:shd w:val="clear" w:color="auto" w:fill="FFFFFF"/>
        <w:spacing w:before="240" w:after="240" w:line="240" w:lineRule="auto"/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 «___» ___________ 20__ р.</w:t>
      </w:r>
    </w:p>
    <w:p w:rsidR="00813EC2" w:rsidRDefault="00C7540A">
      <w:pPr>
        <w:widowControl w:val="0"/>
        <w:shd w:val="clear" w:color="auto" w:fill="FFFFFF"/>
        <w:spacing w:before="240" w:after="240" w:line="240" w:lineRule="auto"/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протокол № ___</w:t>
      </w:r>
    </w:p>
    <w:p w:rsidR="00813EC2" w:rsidRDefault="00C7540A">
      <w:pPr>
        <w:widowControl w:val="0"/>
        <w:spacing w:before="240" w:after="240" w:line="240" w:lineRule="auto"/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Введено в дію наказом ректора від «____» __________20__ за №____</w:t>
      </w:r>
    </w:p>
    <w:p w:rsidR="00813EC2" w:rsidRDefault="00813EC2">
      <w:pPr>
        <w:widowControl w:val="0"/>
        <w:spacing w:before="240" w:after="240" w:line="240" w:lineRule="auto"/>
        <w:ind w:firstLine="4535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widowControl w:val="0"/>
        <w:spacing w:before="240" w:after="240" w:line="240" w:lineRule="auto"/>
        <w:ind w:firstLine="45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13EC2" w:rsidRDefault="00C7540A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ДОДАТОК ДО ОСВІТНЬО-_______________ ПРОГРАМИ</w:t>
      </w:r>
    </w:p>
    <w:p w:rsidR="00813EC2" w:rsidRDefault="00C7540A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«_________________»</w:t>
      </w:r>
    </w:p>
    <w:p w:rsidR="00813EC2" w:rsidRDefault="00C7540A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Рівень вищої освіти: _________</w:t>
      </w:r>
    </w:p>
    <w:p w:rsidR="00813EC2" w:rsidRDefault="00C7540A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 спеціальністю  _____________</w:t>
      </w:r>
    </w:p>
    <w:p w:rsidR="00813EC2" w:rsidRDefault="00C7540A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 спеціалізацією _______________(якщо така передбачена)</w:t>
      </w:r>
    </w:p>
    <w:p w:rsidR="00813EC2" w:rsidRDefault="00C7540A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галузі знань  _________________ </w:t>
      </w:r>
    </w:p>
    <w:p w:rsidR="00813EC2" w:rsidRDefault="00C7540A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13EC2" w:rsidRDefault="00C7540A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здобуття професійної кваліфікації: назва_______________(код за____)</w:t>
      </w:r>
    </w:p>
    <w:p w:rsidR="00813EC2" w:rsidRDefault="00C7540A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обсяг професійної кваліфікації: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повна /часткова</w:t>
      </w:r>
    </w:p>
    <w:p w:rsidR="00813EC2" w:rsidRDefault="00C7540A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обов’язковою / вибірковою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частиною програми</w:t>
      </w:r>
    </w:p>
    <w:p w:rsidR="00813EC2" w:rsidRDefault="00813EC2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13EC2" w:rsidRDefault="00C7540A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13EC2" w:rsidRDefault="00813EC2">
      <w:pPr>
        <w:widowControl w:val="0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813EC2">
          <w:pgSz w:w="11906" w:h="16838"/>
          <w:pgMar w:top="850" w:right="850" w:bottom="850" w:left="1417" w:header="708" w:footer="708" w:gutter="0"/>
          <w:cols w:space="720"/>
        </w:sectPr>
      </w:pPr>
    </w:p>
    <w:p w:rsidR="00813EC2" w:rsidRDefault="00C7540A">
      <w:pPr>
        <w:keepNext/>
        <w:keepLines/>
        <w:numPr>
          <w:ilvl w:val="0"/>
          <w:numId w:val="13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ПРОФІЛЬ  ПРОФЕСІЙНОЇ КВАЛІФІКАЦІЇ </w:t>
      </w:r>
    </w:p>
    <w:p w:rsidR="00813EC2" w:rsidRDefault="00C7540A">
      <w:pPr>
        <w:keepNext/>
        <w:keepLines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«____________»</w:t>
      </w:r>
    </w:p>
    <w:p w:rsidR="00813EC2" w:rsidRDefault="00C7540A">
      <w:pPr>
        <w:keepNext/>
        <w:keepLines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 ОСВІТНЬО-___________ ПРОГРАМОЮ </w:t>
      </w:r>
    </w:p>
    <w:p w:rsidR="00813EC2" w:rsidRDefault="00C7540A">
      <w:pPr>
        <w:keepNext/>
        <w:keepLines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«_________________» / «________________»</w:t>
      </w:r>
    </w:p>
    <w:p w:rsidR="00813EC2" w:rsidRDefault="00C7540A">
      <w:pPr>
        <w:keepNext/>
        <w:keepLines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зі спеціальності ___ «______________»</w:t>
      </w:r>
    </w:p>
    <w:tbl>
      <w:tblPr>
        <w:tblStyle w:val="affffffffffa"/>
        <w:tblW w:w="96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50"/>
        <w:gridCol w:w="3600"/>
        <w:gridCol w:w="4695"/>
      </w:tblGrid>
      <w:tr w:rsidR="00813EC2">
        <w:trPr>
          <w:trHeight w:val="480"/>
          <w:jc w:val="center"/>
        </w:trPr>
        <w:tc>
          <w:tcPr>
            <w:tcW w:w="9645" w:type="dxa"/>
            <w:gridSpan w:val="3"/>
            <w:shd w:val="clear" w:color="auto" w:fill="D9D9D9"/>
          </w:tcPr>
          <w:p w:rsidR="00813EC2" w:rsidRDefault="00C7540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1 - Загальна інформація</w:t>
            </w:r>
          </w:p>
        </w:tc>
      </w:tr>
      <w:tr w:rsidR="00813EC2">
        <w:trPr>
          <w:trHeight w:val="480"/>
          <w:jc w:val="center"/>
        </w:trPr>
        <w:tc>
          <w:tcPr>
            <w:tcW w:w="4950" w:type="dxa"/>
            <w:gridSpan w:val="2"/>
          </w:tcPr>
          <w:p w:rsidR="00813EC2" w:rsidRDefault="00C7540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 професійної кваліфікації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ootnoteReference w:id="6"/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80"/>
          <w:jc w:val="center"/>
        </w:trPr>
        <w:tc>
          <w:tcPr>
            <w:tcW w:w="4950" w:type="dxa"/>
            <w:gridSpan w:val="2"/>
          </w:tcPr>
          <w:p w:rsidR="00813EC2" w:rsidRDefault="00C7540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Рівень Національної рамки кваліфікацій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ootnoteReference w:id="7"/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80"/>
          <w:jc w:val="center"/>
        </w:trPr>
        <w:tc>
          <w:tcPr>
            <w:tcW w:w="4950" w:type="dxa"/>
            <w:gridSpan w:val="2"/>
          </w:tcPr>
          <w:p w:rsidR="00813EC2" w:rsidRDefault="00C7540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Обсяг професійної кваліфікації (повна або часткова)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ootnoteReference w:id="8"/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80"/>
          <w:jc w:val="center"/>
        </w:trPr>
        <w:tc>
          <w:tcPr>
            <w:tcW w:w="4950" w:type="dxa"/>
            <w:gridSpan w:val="2"/>
          </w:tcPr>
          <w:p w:rsidR="00813EC2" w:rsidRDefault="00C7540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Мета діяльності за професійною кваліфікацією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ootnoteReference w:id="9"/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80"/>
          <w:jc w:val="center"/>
        </w:trPr>
        <w:tc>
          <w:tcPr>
            <w:tcW w:w="9645" w:type="dxa"/>
            <w:gridSpan w:val="3"/>
            <w:shd w:val="clear" w:color="auto" w:fill="EFEFEF"/>
          </w:tcPr>
          <w:p w:rsidR="00813EC2" w:rsidRDefault="00C7540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2 - Трудові функції </w:t>
            </w:r>
          </w:p>
        </w:tc>
      </w:tr>
      <w:tr w:rsidR="00813EC2">
        <w:trPr>
          <w:trHeight w:val="48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Формулювання</w:t>
            </w:r>
          </w:p>
        </w:tc>
      </w:tr>
      <w:tr w:rsidR="00813EC2">
        <w:trPr>
          <w:trHeight w:val="48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8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8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8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8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80"/>
          <w:jc w:val="center"/>
        </w:trPr>
        <w:tc>
          <w:tcPr>
            <w:tcW w:w="964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3 - Професійні компетентності (уміння та навички)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ootnoteReference w:id="10"/>
            </w:r>
          </w:p>
        </w:tc>
      </w:tr>
      <w:tr w:rsidR="00813EC2">
        <w:trPr>
          <w:trHeight w:val="48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Код</w:t>
            </w: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Формулювання</w:t>
            </w:r>
          </w:p>
        </w:tc>
      </w:tr>
      <w:tr w:rsidR="00813EC2">
        <w:trPr>
          <w:trHeight w:val="48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8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К2</w:t>
            </w: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4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4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Кn</w:t>
            </w:r>
            <w:proofErr w:type="spellEnd"/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80"/>
          <w:jc w:val="center"/>
        </w:trPr>
        <w:tc>
          <w:tcPr>
            <w:tcW w:w="964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4 - Результати навчання (знання)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ootnoteReference w:id="11"/>
            </w:r>
          </w:p>
        </w:tc>
      </w:tr>
      <w:tr w:rsidR="00813EC2">
        <w:trPr>
          <w:trHeight w:val="44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Формулювання</w:t>
            </w:r>
          </w:p>
        </w:tc>
      </w:tr>
      <w:tr w:rsidR="00813EC2">
        <w:trPr>
          <w:trHeight w:val="44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ЗН1</w:t>
            </w: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4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ЗН2</w:t>
            </w: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27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27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27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ЗНm</w:t>
            </w:r>
            <w:proofErr w:type="spellEnd"/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270"/>
          <w:jc w:val="center"/>
        </w:trPr>
        <w:tc>
          <w:tcPr>
            <w:tcW w:w="964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5- Компетентності за ОП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ootnoteReference w:id="12"/>
            </w:r>
          </w:p>
        </w:tc>
      </w:tr>
      <w:tr w:rsidR="00813EC2">
        <w:trPr>
          <w:trHeight w:val="44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Формулювання</w:t>
            </w:r>
          </w:p>
        </w:tc>
      </w:tr>
      <w:tr w:rsidR="00813EC2">
        <w:trPr>
          <w:trHeight w:val="440"/>
          <w:jc w:val="center"/>
        </w:trPr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СКx</w:t>
            </w:r>
            <w:proofErr w:type="spellEnd"/>
          </w:p>
        </w:tc>
        <w:tc>
          <w:tcPr>
            <w:tcW w:w="829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40"/>
          <w:jc w:val="center"/>
        </w:trPr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СКy</w:t>
            </w:r>
            <w:proofErr w:type="spellEnd"/>
          </w:p>
        </w:tc>
        <w:tc>
          <w:tcPr>
            <w:tcW w:w="829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40"/>
          <w:jc w:val="center"/>
        </w:trPr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829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270"/>
          <w:jc w:val="center"/>
        </w:trPr>
        <w:tc>
          <w:tcPr>
            <w:tcW w:w="964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6 - Програмні результати навчання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ootnoteReference w:id="13"/>
            </w:r>
          </w:p>
        </w:tc>
      </w:tr>
      <w:tr w:rsidR="00813EC2">
        <w:trPr>
          <w:trHeight w:val="44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Формулювання</w:t>
            </w:r>
          </w:p>
        </w:tc>
      </w:tr>
      <w:tr w:rsidR="00813EC2">
        <w:trPr>
          <w:trHeight w:val="615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ПРНm</w:t>
            </w:r>
            <w:proofErr w:type="spellEnd"/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270"/>
          <w:jc w:val="center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8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13EC2" w:rsidRDefault="00813EC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EC2" w:rsidRDefault="00C754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2 - Освітні компоненти, які є підставою для присвоєння професійної кваліфікації</w:t>
      </w:r>
    </w:p>
    <w:p w:rsidR="00813EC2" w:rsidRDefault="00813EC2">
      <w:pPr>
        <w:spacing w:line="240" w:lineRule="auto"/>
        <w:ind w:left="-260"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fffb"/>
        <w:tblW w:w="10018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84"/>
        <w:gridCol w:w="7035"/>
        <w:gridCol w:w="2199"/>
      </w:tblGrid>
      <w:tr w:rsidR="00813EC2">
        <w:trPr>
          <w:trHeight w:val="448"/>
        </w:trPr>
        <w:tc>
          <w:tcPr>
            <w:tcW w:w="7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Код н/д </w:t>
            </w:r>
          </w:p>
        </w:tc>
        <w:tc>
          <w:tcPr>
            <w:tcW w:w="70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Компоненти освітньої програми</w:t>
            </w:r>
          </w:p>
        </w:tc>
        <w:tc>
          <w:tcPr>
            <w:tcW w:w="2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Кількість кредитів</w:t>
            </w:r>
          </w:p>
        </w:tc>
      </w:tr>
      <w:tr w:rsidR="00813EC2">
        <w:trPr>
          <w:trHeight w:val="440"/>
        </w:trPr>
        <w:tc>
          <w:tcPr>
            <w:tcW w:w="10014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Обов’язкові компоненти ОП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(за потреби)</w:t>
            </w:r>
          </w:p>
        </w:tc>
      </w:tr>
      <w:tr w:rsidR="00813EC2">
        <w:trPr>
          <w:trHeight w:val="390"/>
        </w:trPr>
        <w:tc>
          <w:tcPr>
            <w:tcW w:w="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40"/>
        </w:trPr>
        <w:tc>
          <w:tcPr>
            <w:tcW w:w="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40"/>
        </w:trPr>
        <w:tc>
          <w:tcPr>
            <w:tcW w:w="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40"/>
        </w:trPr>
        <w:tc>
          <w:tcPr>
            <w:tcW w:w="10014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Вибіркові компоненти  ОП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(за потреби)</w:t>
            </w:r>
          </w:p>
        </w:tc>
      </w:tr>
      <w:tr w:rsidR="00813EC2">
        <w:trPr>
          <w:trHeight w:val="440"/>
        </w:trPr>
        <w:tc>
          <w:tcPr>
            <w:tcW w:w="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40"/>
        </w:trPr>
        <w:tc>
          <w:tcPr>
            <w:tcW w:w="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40"/>
        </w:trPr>
        <w:tc>
          <w:tcPr>
            <w:tcW w:w="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EC2">
        <w:trPr>
          <w:trHeight w:val="440"/>
        </w:trPr>
        <w:tc>
          <w:tcPr>
            <w:tcW w:w="781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ВСЬОГО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81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13EC2" w:rsidRDefault="00813EC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EC2" w:rsidRDefault="00C754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3 - Матриця відповідності освітніх компонент ОП, які є підставою для присвоєння професійної кваліфікації та професійних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4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fffffffc"/>
        <w:tblW w:w="10155" w:type="dxa"/>
        <w:tblInd w:w="-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05"/>
        <w:gridCol w:w="1110"/>
        <w:gridCol w:w="975"/>
        <w:gridCol w:w="960"/>
        <w:gridCol w:w="915"/>
        <w:gridCol w:w="900"/>
        <w:gridCol w:w="885"/>
        <w:gridCol w:w="1020"/>
        <w:gridCol w:w="885"/>
      </w:tblGrid>
      <w:tr w:rsidR="00813EC2">
        <w:trPr>
          <w:cantSplit/>
          <w:trHeight w:val="1755"/>
        </w:trPr>
        <w:tc>
          <w:tcPr>
            <w:tcW w:w="2505" w:type="dxa"/>
          </w:tcPr>
          <w:p w:rsidR="00813EC2" w:rsidRDefault="00C7540A">
            <w:pPr>
              <w:keepNext/>
              <w:keepLines/>
              <w:spacing w:before="240" w:after="40" w:line="240" w:lineRule="auto"/>
              <w:ind w:left="45" w:firstLine="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Освітні компоненти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ootnoteReference w:id="15"/>
            </w:r>
          </w:p>
          <w:p w:rsidR="00813EC2" w:rsidRDefault="00C7540A">
            <w:pPr>
              <w:keepNext/>
              <w:keepLines/>
              <w:spacing w:before="240" w:after="40" w:line="240" w:lineRule="auto"/>
              <w:ind w:left="45" w:firstLine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Професійні компетентності </w:t>
            </w:r>
          </w:p>
        </w:tc>
        <w:tc>
          <w:tcPr>
            <w:tcW w:w="1110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ОК.1</w:t>
            </w:r>
          </w:p>
        </w:tc>
        <w:tc>
          <w:tcPr>
            <w:tcW w:w="975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ОК.2</w:t>
            </w:r>
          </w:p>
        </w:tc>
        <w:tc>
          <w:tcPr>
            <w:tcW w:w="960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ОК.3</w:t>
            </w:r>
          </w:p>
        </w:tc>
        <w:tc>
          <w:tcPr>
            <w:tcW w:w="915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900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885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20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885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813EC2">
        <w:tc>
          <w:tcPr>
            <w:tcW w:w="2505" w:type="dxa"/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111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К2</w:t>
            </w:r>
          </w:p>
        </w:tc>
        <w:tc>
          <w:tcPr>
            <w:tcW w:w="111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К3</w:t>
            </w:r>
          </w:p>
        </w:tc>
        <w:tc>
          <w:tcPr>
            <w:tcW w:w="111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11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</w:tcPr>
          <w:p w:rsidR="00813EC2" w:rsidRDefault="00C7540A">
            <w:pPr>
              <w:spacing w:line="240" w:lineRule="auto"/>
              <w:ind w:left="-260"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11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3EC2" w:rsidRDefault="00813EC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EC2" w:rsidRDefault="00C754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4 - Матриця відповідності освітніх компонент ОП, які є підставою для присвоєння професійної кваліфікації та результатів навчання (знань)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6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fffffffd"/>
        <w:tblW w:w="10155" w:type="dxa"/>
        <w:tblInd w:w="-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05"/>
        <w:gridCol w:w="1110"/>
        <w:gridCol w:w="975"/>
        <w:gridCol w:w="960"/>
        <w:gridCol w:w="915"/>
        <w:gridCol w:w="900"/>
        <w:gridCol w:w="885"/>
        <w:gridCol w:w="1020"/>
        <w:gridCol w:w="885"/>
      </w:tblGrid>
      <w:tr w:rsidR="00813EC2">
        <w:trPr>
          <w:cantSplit/>
          <w:trHeight w:val="1453"/>
        </w:trPr>
        <w:tc>
          <w:tcPr>
            <w:tcW w:w="2505" w:type="dxa"/>
          </w:tcPr>
          <w:p w:rsidR="00813EC2" w:rsidRDefault="00C7540A">
            <w:pPr>
              <w:keepNext/>
              <w:keepLines/>
              <w:spacing w:before="240" w:after="40" w:line="240" w:lineRule="auto"/>
              <w:ind w:left="45" w:firstLine="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Освітні компоненти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ootnoteReference w:id="17"/>
            </w:r>
          </w:p>
          <w:p w:rsidR="00813EC2" w:rsidRDefault="00C7540A">
            <w:pPr>
              <w:keepNext/>
              <w:keepLines/>
              <w:spacing w:before="240" w:after="40" w:line="240" w:lineRule="auto"/>
              <w:ind w:left="45" w:firstLine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Знання</w:t>
            </w:r>
          </w:p>
        </w:tc>
        <w:tc>
          <w:tcPr>
            <w:tcW w:w="1110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ОК.1</w:t>
            </w:r>
          </w:p>
        </w:tc>
        <w:tc>
          <w:tcPr>
            <w:tcW w:w="975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ОК.2</w:t>
            </w:r>
          </w:p>
        </w:tc>
        <w:tc>
          <w:tcPr>
            <w:tcW w:w="960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ОК.3</w:t>
            </w:r>
          </w:p>
        </w:tc>
        <w:tc>
          <w:tcPr>
            <w:tcW w:w="915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900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885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20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885" w:type="dxa"/>
          </w:tcPr>
          <w:p w:rsidR="00813EC2" w:rsidRDefault="00C7540A">
            <w:pPr>
              <w:spacing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813EC2">
        <w:tc>
          <w:tcPr>
            <w:tcW w:w="2505" w:type="dxa"/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ЗН1</w:t>
            </w:r>
          </w:p>
        </w:tc>
        <w:tc>
          <w:tcPr>
            <w:tcW w:w="111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ЗН2</w:t>
            </w:r>
          </w:p>
        </w:tc>
        <w:tc>
          <w:tcPr>
            <w:tcW w:w="111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ЗН3</w:t>
            </w:r>
          </w:p>
        </w:tc>
        <w:tc>
          <w:tcPr>
            <w:tcW w:w="111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</w:tcPr>
          <w:p w:rsidR="00813EC2" w:rsidRDefault="00C7540A">
            <w:pPr>
              <w:spacing w:line="240" w:lineRule="auto"/>
              <w:ind w:left="-260"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11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</w:tcPr>
          <w:p w:rsidR="00813EC2" w:rsidRDefault="00C7540A">
            <w:pPr>
              <w:spacing w:line="240" w:lineRule="auto"/>
              <w:ind w:left="-260"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11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3EC2" w:rsidRDefault="00813EC2">
      <w:pPr>
        <w:spacing w:line="240" w:lineRule="auto"/>
        <w:ind w:left="-260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</w:p>
    <w:p w:rsidR="00813EC2" w:rsidRDefault="00813EC2">
      <w:pPr>
        <w:spacing w:line="240" w:lineRule="auto"/>
        <w:ind w:left="-260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</w:p>
    <w:p w:rsidR="00813EC2" w:rsidRDefault="00C754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5 - Матриця відповідності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ОП та професійних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8"/>
      </w:r>
    </w:p>
    <w:p w:rsidR="00813EC2" w:rsidRDefault="00813EC2">
      <w:pPr>
        <w:spacing w:line="240" w:lineRule="auto"/>
        <w:ind w:left="-260"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fffe"/>
        <w:tblW w:w="10200" w:type="dxa"/>
        <w:tblInd w:w="-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05"/>
        <w:gridCol w:w="1125"/>
        <w:gridCol w:w="975"/>
        <w:gridCol w:w="945"/>
        <w:gridCol w:w="930"/>
        <w:gridCol w:w="915"/>
        <w:gridCol w:w="900"/>
        <w:gridCol w:w="1005"/>
        <w:gridCol w:w="900"/>
      </w:tblGrid>
      <w:tr w:rsidR="00813EC2">
        <w:trPr>
          <w:cantSplit/>
          <w:trHeight w:val="2189"/>
        </w:trPr>
        <w:tc>
          <w:tcPr>
            <w:tcW w:w="2505" w:type="dxa"/>
          </w:tcPr>
          <w:p w:rsidR="00813EC2" w:rsidRDefault="00C7540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Професійні компетентності</w:t>
            </w:r>
          </w:p>
          <w:p w:rsidR="00813EC2" w:rsidRDefault="00813EC2">
            <w:pPr>
              <w:spacing w:line="240" w:lineRule="auto"/>
              <w:ind w:left="-260"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13EC2" w:rsidRDefault="00813EC2">
            <w:pPr>
              <w:spacing w:line="240" w:lineRule="auto"/>
              <w:ind w:left="-260"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13EC2" w:rsidRDefault="00C7540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Компетентності ОП</w:t>
            </w:r>
          </w:p>
        </w:tc>
        <w:tc>
          <w:tcPr>
            <w:tcW w:w="1125" w:type="dxa"/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975" w:type="dxa"/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К2</w:t>
            </w:r>
          </w:p>
        </w:tc>
        <w:tc>
          <w:tcPr>
            <w:tcW w:w="945" w:type="dxa"/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К3</w:t>
            </w:r>
          </w:p>
        </w:tc>
        <w:tc>
          <w:tcPr>
            <w:tcW w:w="930" w:type="dxa"/>
          </w:tcPr>
          <w:p w:rsidR="00813EC2" w:rsidRDefault="00C7540A">
            <w:pPr>
              <w:spacing w:line="240" w:lineRule="auto"/>
              <w:ind w:left="-285" w:right="-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915" w:type="dxa"/>
          </w:tcPr>
          <w:p w:rsidR="00813EC2" w:rsidRDefault="00C7540A">
            <w:pPr>
              <w:spacing w:line="240" w:lineRule="auto"/>
              <w:ind w:left="-285" w:right="-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900" w:type="dxa"/>
          </w:tcPr>
          <w:p w:rsidR="00813EC2" w:rsidRDefault="00C7540A">
            <w:pPr>
              <w:spacing w:line="240" w:lineRule="auto"/>
              <w:ind w:left="-285" w:right="-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05" w:type="dxa"/>
          </w:tcPr>
          <w:p w:rsidR="00813EC2" w:rsidRDefault="00C7540A">
            <w:pPr>
              <w:spacing w:line="240" w:lineRule="auto"/>
              <w:ind w:left="-285" w:right="-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900" w:type="dxa"/>
          </w:tcPr>
          <w:p w:rsidR="00813EC2" w:rsidRDefault="00C7540A">
            <w:pPr>
              <w:spacing w:line="240" w:lineRule="auto"/>
              <w:ind w:left="-285" w:right="-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813EC2"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ЗКx</w:t>
            </w:r>
            <w:proofErr w:type="spellEnd"/>
          </w:p>
        </w:tc>
        <w:tc>
          <w:tcPr>
            <w:tcW w:w="112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СКy</w:t>
            </w:r>
            <w:proofErr w:type="spellEnd"/>
          </w:p>
        </w:tc>
        <w:tc>
          <w:tcPr>
            <w:tcW w:w="112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12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12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…</w:t>
            </w:r>
          </w:p>
        </w:tc>
        <w:tc>
          <w:tcPr>
            <w:tcW w:w="112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3EC2" w:rsidRDefault="00813EC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EC2" w:rsidRDefault="00C754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6 - Матриця відповідності програмних результатів навчання  та професійних знань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9"/>
      </w:r>
    </w:p>
    <w:p w:rsidR="00813EC2" w:rsidRDefault="00813EC2">
      <w:pPr>
        <w:spacing w:line="240" w:lineRule="auto"/>
        <w:ind w:left="-260"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ffff"/>
        <w:tblW w:w="10200" w:type="dxa"/>
        <w:tblInd w:w="-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05"/>
        <w:gridCol w:w="1125"/>
        <w:gridCol w:w="975"/>
        <w:gridCol w:w="945"/>
        <w:gridCol w:w="930"/>
        <w:gridCol w:w="915"/>
        <w:gridCol w:w="900"/>
        <w:gridCol w:w="1005"/>
        <w:gridCol w:w="900"/>
      </w:tblGrid>
      <w:tr w:rsidR="00813EC2">
        <w:trPr>
          <w:cantSplit/>
          <w:trHeight w:val="2189"/>
        </w:trPr>
        <w:tc>
          <w:tcPr>
            <w:tcW w:w="2505" w:type="dxa"/>
          </w:tcPr>
          <w:p w:rsidR="00813EC2" w:rsidRDefault="00C7540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Професійні знання</w:t>
            </w:r>
          </w:p>
          <w:p w:rsidR="00813EC2" w:rsidRDefault="00813EC2">
            <w:pPr>
              <w:spacing w:line="240" w:lineRule="auto"/>
              <w:ind w:left="-260"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13EC2" w:rsidRDefault="00813EC2">
            <w:pPr>
              <w:spacing w:line="240" w:lineRule="auto"/>
              <w:ind w:left="-260"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13EC2" w:rsidRDefault="00C7540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Програмні результати навчання</w:t>
            </w:r>
          </w:p>
        </w:tc>
        <w:tc>
          <w:tcPr>
            <w:tcW w:w="1125" w:type="dxa"/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ЗН1</w:t>
            </w:r>
          </w:p>
        </w:tc>
        <w:tc>
          <w:tcPr>
            <w:tcW w:w="975" w:type="dxa"/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ЗН2</w:t>
            </w:r>
          </w:p>
        </w:tc>
        <w:tc>
          <w:tcPr>
            <w:tcW w:w="945" w:type="dxa"/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ЗН3</w:t>
            </w:r>
          </w:p>
        </w:tc>
        <w:tc>
          <w:tcPr>
            <w:tcW w:w="930" w:type="dxa"/>
          </w:tcPr>
          <w:p w:rsidR="00813EC2" w:rsidRDefault="00C7540A">
            <w:pPr>
              <w:spacing w:line="240" w:lineRule="auto"/>
              <w:ind w:left="-285" w:right="-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915" w:type="dxa"/>
          </w:tcPr>
          <w:p w:rsidR="00813EC2" w:rsidRDefault="00C7540A">
            <w:pPr>
              <w:spacing w:line="240" w:lineRule="auto"/>
              <w:ind w:left="-285" w:right="-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900" w:type="dxa"/>
          </w:tcPr>
          <w:p w:rsidR="00813EC2" w:rsidRDefault="00C7540A">
            <w:pPr>
              <w:spacing w:line="240" w:lineRule="auto"/>
              <w:ind w:left="-285" w:right="-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05" w:type="dxa"/>
          </w:tcPr>
          <w:p w:rsidR="00813EC2" w:rsidRDefault="00C7540A">
            <w:pPr>
              <w:spacing w:line="240" w:lineRule="auto"/>
              <w:ind w:left="-285" w:right="-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900" w:type="dxa"/>
          </w:tcPr>
          <w:p w:rsidR="00813EC2" w:rsidRDefault="00C7540A">
            <w:pPr>
              <w:spacing w:line="240" w:lineRule="auto"/>
              <w:ind w:left="-285" w:right="-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813EC2"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ПРНx</w:t>
            </w:r>
            <w:proofErr w:type="spellEnd"/>
          </w:p>
        </w:tc>
        <w:tc>
          <w:tcPr>
            <w:tcW w:w="112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ПРНy</w:t>
            </w:r>
            <w:proofErr w:type="spellEnd"/>
          </w:p>
        </w:tc>
        <w:tc>
          <w:tcPr>
            <w:tcW w:w="112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12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12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3EC2"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EC2" w:rsidRDefault="00C754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12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13EC2" w:rsidRDefault="00813EC2">
            <w:pPr>
              <w:spacing w:line="240" w:lineRule="auto"/>
              <w:ind w:left="-260" w:right="25"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3EC2" w:rsidRDefault="00813EC2">
      <w:pPr>
        <w:widowControl w:val="0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EC2" w:rsidRDefault="00C7540A">
      <w:pPr>
        <w:widowControl w:val="0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7 - Умови присвоєння професійної кваліфікації ______________</w:t>
      </w:r>
    </w:p>
    <w:p w:rsidR="00813EC2" w:rsidRDefault="00C7540A">
      <w:pPr>
        <w:tabs>
          <w:tab w:val="left" w:pos="567"/>
        </w:tabs>
        <w:spacing w:line="240" w:lineRule="auto"/>
        <w:ind w:left="-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Рішення про присвоєння професійної кваліфікації фіксується в протоколах екзаменаційної комісії, до яких заноситься також інформація щодо погодження присвоєння професійних кваліфікацій за освітньою програмою Національним агентством кваліфікацій. </w:t>
      </w:r>
    </w:p>
    <w:p w:rsidR="00813EC2" w:rsidRDefault="00C7540A">
      <w:pPr>
        <w:tabs>
          <w:tab w:val="left" w:pos="567"/>
        </w:tabs>
        <w:spacing w:line="240" w:lineRule="auto"/>
        <w:ind w:left="-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Рішення про присвоєння професійної кваліфікації ухвалюється за обов’язкової присутності члена комісії із числа роботодавців консенсусом усіх присутніх членів екзаменаційної комісії.  За таких умов:</w:t>
      </w:r>
    </w:p>
    <w:p w:rsidR="00813EC2" w:rsidRDefault="00C7540A">
      <w:pPr>
        <w:numPr>
          <w:ilvl w:val="0"/>
          <w:numId w:val="11"/>
        </w:numPr>
        <w:tabs>
          <w:tab w:val="left" w:pos="567"/>
          <w:tab w:val="left" w:pos="9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Успішне оволодіння фаховими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компетентностями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та результатами навчання обов’язкових дисциплін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ОК.x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«___________»,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ОК.y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«_____»…  не нижче 75 балів.</w:t>
      </w:r>
    </w:p>
    <w:p w:rsidR="00813EC2" w:rsidRDefault="00C7540A">
      <w:pPr>
        <w:numPr>
          <w:ilvl w:val="0"/>
          <w:numId w:val="11"/>
        </w:numPr>
        <w:tabs>
          <w:tab w:val="left" w:pos="567"/>
          <w:tab w:val="left" w:pos="9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Захист кваліфікаційної роботи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ОК.z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з оцінкою не нижче 75 балів.</w:t>
      </w:r>
    </w:p>
    <w:p w:rsidR="00813EC2" w:rsidRDefault="00C7540A">
      <w:pPr>
        <w:numPr>
          <w:ilvl w:val="0"/>
          <w:numId w:val="11"/>
        </w:numPr>
        <w:tabs>
          <w:tab w:val="left" w:pos="567"/>
          <w:tab w:val="left" w:pos="9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Проходження виробничої практики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ОК.w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обсягом не менше 6 кредитів ЄКТС з оцінкою не нижче 75 балів. </w:t>
      </w:r>
    </w:p>
    <w:p w:rsidR="00813EC2" w:rsidRDefault="00C7540A">
      <w:pPr>
        <w:widowControl w:val="0"/>
        <w:tabs>
          <w:tab w:val="left" w:pos="567"/>
        </w:tabs>
        <w:ind w:left="-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тощо</w:t>
      </w:r>
    </w:p>
    <w:p w:rsidR="00813EC2" w:rsidRDefault="00C7540A">
      <w:pPr>
        <w:widowControl w:val="0"/>
        <w:tabs>
          <w:tab w:val="left" w:pos="567"/>
        </w:tabs>
        <w:ind w:left="-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Отриманий під час виробничої практики з відривом від навчання практичний досвід повинен підтверджуватись засвідченими керівником практики та печаткою бази практики щоденником та звітом з практики із зазначенням виду, дати та тривалості виконання трудових функцій та завдань. Звіт з практики має підтверджувати успішне виконання практикантом не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менш як двох третин трудових функцій, якими має володіти власник професійної кваліфікації ______________________________.</w:t>
      </w:r>
    </w:p>
    <w:p w:rsidR="00813EC2" w:rsidRDefault="00C7540A">
      <w:pPr>
        <w:tabs>
          <w:tab w:val="left" w:pos="567"/>
        </w:tabs>
        <w:spacing w:line="240" w:lineRule="auto"/>
        <w:ind w:left="-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кщо ОП передбачає виконання кваліфікаційної роботи як умову присвоєння професійної кваліфікації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Теми кваліфікаційних робіт мають бути погоджені з роботодавцями . Погодження здійснюється у письмовій формі або на засіданні кафедри з оформленням відповідного протоколу засідання кафедри. </w:t>
      </w:r>
    </w:p>
    <w:p w:rsidR="00813EC2" w:rsidRDefault="00C7540A">
      <w:pPr>
        <w:tabs>
          <w:tab w:val="left" w:pos="567"/>
        </w:tabs>
        <w:spacing w:line="240" w:lineRule="auto"/>
        <w:ind w:left="-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 складу екзаменаційної комісії має бути включений хоча б один член комісії, який має досвід діяльності, що передбачає наявність професійної кваліфікації _______________ або вищої професійної кваліфікації, а також хоча б один представник роботодавців (із числа підприємств/установ/організацій, які здійснюють діяльність за профілем відповідної професійної кваліфікації). </w:t>
      </w:r>
    </w:p>
    <w:p w:rsidR="00813EC2" w:rsidRDefault="00C7540A">
      <w:pPr>
        <w:tabs>
          <w:tab w:val="left" w:pos="567"/>
        </w:tabs>
        <w:spacing w:line="240" w:lineRule="auto"/>
        <w:ind w:left="-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Рішення екзаменаційної комісії щодо відмови у присвоєнні здобувачеві освіти професійної кваліфікації є остаточним і може бути переглянуте виключно у випадку вчинених комісією порушень. </w:t>
      </w:r>
    </w:p>
    <w:p w:rsidR="00813EC2" w:rsidRDefault="00C7540A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6 - Обґрунтування необхідності впровадження професійної кваліфікації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0"/>
      </w:r>
    </w:p>
    <w:p w:rsidR="00813EC2" w:rsidRDefault="00C7540A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Додати інформацію з Додатку 6.</w:t>
      </w:r>
    </w:p>
    <w:p w:rsidR="00813EC2" w:rsidRDefault="00C7540A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7 - Оцінка потреби у працівниках з такою професійною кваліфікацією на ринку праці національного та/або регіонального рівнів від роботодавців та/або їх об'єднань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1"/>
      </w:r>
    </w:p>
    <w:p w:rsidR="00813EC2" w:rsidRDefault="00C7540A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Додати оформлений і підписаний лист роботодавців (або завірену копію) за формою шаблону звернення  (Додаток 7).</w:t>
      </w:r>
    </w:p>
    <w:p w:rsidR="00813EC2" w:rsidRDefault="00813EC2">
      <w:pPr>
        <w:ind w:left="396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EC2" w:rsidRDefault="00813E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EC2" w:rsidRDefault="00C754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Керівник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проєктної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групи ____________________________</w:t>
      </w:r>
      <w:r>
        <w:br w:type="page"/>
      </w:r>
    </w:p>
    <w:p w:rsidR="00813EC2" w:rsidRDefault="00813EC2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3EC2" w:rsidRDefault="00C7540A">
      <w:pPr>
        <w:spacing w:before="280" w:after="280" w:line="240" w:lineRule="auto"/>
        <w:ind w:left="39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Додаток 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Орієнтовний шаблон аналізу потреби у працівниках професійної кваліфікації на ринку праці національного та/або регіонального рівнів </w:t>
      </w:r>
      <w:r>
        <w:rPr>
          <w:rFonts w:ascii="Times New Roman" w:eastAsia="Times New Roman" w:hAnsi="Times New Roman" w:cs="Times New Roman"/>
          <w:vertAlign w:val="superscript"/>
        </w:rPr>
        <w:footnoteReference w:id="22"/>
      </w:r>
    </w:p>
    <w:p w:rsidR="00813EC2" w:rsidRDefault="00813E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EC2" w:rsidRDefault="00C7540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Аналіз потреби у працівниках професійної кваліфікації ______________ на ринку праці національного та/або регіонального рівнів</w:t>
      </w:r>
    </w:p>
    <w:p w:rsidR="00813EC2" w:rsidRDefault="00813E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EC2" w:rsidRDefault="00C754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Назва професійної кваліфікації: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(укр./англ.), </w:t>
      </w:r>
    </w:p>
    <w:p w:rsidR="00813EC2" w:rsidRDefault="00C7540A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ДК 003, ISCO/ESCO.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Галузь економічної діяльності: </w:t>
      </w:r>
      <w:r>
        <w:rPr>
          <w:rFonts w:ascii="Times New Roman" w:eastAsia="Times New Roman" w:hAnsi="Times New Roman" w:cs="Times New Roman"/>
          <w:sz w:val="24"/>
          <w:szCs w:val="24"/>
        </w:rPr>
        <w:t>(IT, освіта, медицина тощо).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Географічний рівень аналізу: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національний (вся Україна) або регіональний (область, місто, агломерація).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Основні показники попиту та пропозиції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опціонально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813EC2" w:rsidRDefault="00C754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Кількість вакансій за останній рік (місяць, квартал). </w:t>
      </w:r>
    </w:p>
    <w:p w:rsidR="00813EC2" w:rsidRDefault="00C7540A">
      <w:pPr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ДСЗУ – вакансії, бюлетені</w:t>
      </w:r>
    </w:p>
    <w:p w:rsidR="00813EC2" w:rsidRDefault="007B531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>
        <w:proofErr w:type="spellStart"/>
        <w:r w:rsidR="00C7540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Work.ua</w:t>
        </w:r>
        <w:proofErr w:type="spellEnd"/>
        <w:r w:rsidR="00C7540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/</w:t>
        </w:r>
        <w:proofErr w:type="spellStart"/>
        <w:r w:rsidR="00C7540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stat</w:t>
        </w:r>
        <w:proofErr w:type="spellEnd"/>
      </w:hyperlink>
    </w:p>
    <w:p w:rsidR="00813EC2" w:rsidRDefault="007B531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>
        <w:r w:rsidR="00C7540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Robota.ua</w:t>
        </w:r>
      </w:hyperlink>
    </w:p>
    <w:p w:rsidR="00813EC2" w:rsidRDefault="007B5319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>
        <w:r w:rsidR="00C7540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DOU </w:t>
        </w:r>
        <w:proofErr w:type="spellStart"/>
        <w:r w:rsidR="00C7540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Jobs</w:t>
        </w:r>
        <w:proofErr w:type="spellEnd"/>
        <w:r w:rsidR="00C7540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/</w:t>
        </w:r>
        <w:proofErr w:type="spellStart"/>
        <w:r w:rsidR="00C7540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Salaries</w:t>
        </w:r>
        <w:proofErr w:type="spellEnd"/>
      </w:hyperlink>
      <w:r w:rsidR="00C7540A">
        <w:rPr>
          <w:rFonts w:ascii="Times New Roman" w:eastAsia="Times New Roman" w:hAnsi="Times New Roman" w:cs="Times New Roman"/>
          <w:sz w:val="24"/>
          <w:szCs w:val="24"/>
        </w:rPr>
        <w:t xml:space="preserve"> (для ІТ).</w:t>
      </w:r>
    </w:p>
    <w:p w:rsidR="00813EC2" w:rsidRDefault="007B5319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>
        <w:proofErr w:type="spellStart"/>
        <w:r w:rsidR="00C7540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Держстат</w:t>
        </w:r>
        <w:proofErr w:type="spellEnd"/>
        <w:r w:rsidR="00C7540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– «Зайнятість та безробіття»</w:t>
        </w:r>
        <w:r w:rsidR="00C7540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br/>
        </w:r>
      </w:hyperlink>
    </w:p>
    <w:p w:rsidR="00813EC2" w:rsidRDefault="00C7540A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Оглядові бюлетені ДСЗУ.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3EC2" w:rsidRDefault="00C7540A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Динаміка попиту – тренди за 3–5 років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опціонально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813EC2" w:rsidRDefault="00C7540A">
      <w:pPr>
        <w:numPr>
          <w:ilvl w:val="0"/>
          <w:numId w:val="16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зростання / спад / стабільність.</w:t>
      </w:r>
    </w:p>
    <w:p w:rsidR="00813EC2" w:rsidRDefault="00C7540A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Джерела: ДСЗУ, професійні асоціації (наприклад,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Ukraine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Асоціація роботодавців медичної галузі тощо).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3EC2" w:rsidRDefault="00C7540A">
      <w:pPr>
        <w:pStyle w:val="3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jejfu0s8bqsk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3. Аналіз роботодавців </w:t>
      </w:r>
      <w:r>
        <w:rPr>
          <w:rFonts w:ascii="Times New Roman" w:eastAsia="Times New Roman" w:hAnsi="Times New Roman" w:cs="Times New Roman"/>
          <w:b w:val="0"/>
          <w:i/>
          <w:sz w:val="24"/>
          <w:szCs w:val="24"/>
        </w:rPr>
        <w:t>(якщо актуально)</w:t>
      </w:r>
    </w:p>
    <w:p w:rsidR="00813EC2" w:rsidRDefault="00C7540A">
      <w:pPr>
        <w:numPr>
          <w:ilvl w:val="0"/>
          <w:numId w:val="10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Топ-10 роботодавців за кількістю вакансій у цій кваліфікації.</w:t>
      </w:r>
    </w:p>
    <w:p w:rsidR="00813EC2" w:rsidRDefault="00C7540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Приклади типових вакансій із вимогами (описано коротко).</w:t>
      </w:r>
    </w:p>
    <w:p w:rsidR="00813EC2" w:rsidRDefault="00C7540A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Очікувані компетентності та навички.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3EC2" w:rsidRDefault="00C7540A">
      <w:pPr>
        <w:pStyle w:val="3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2ln5ysx6fw23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Висновки</w:t>
      </w:r>
    </w:p>
    <w:p w:rsidR="00813EC2" w:rsidRDefault="00C754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Чи є стійкий попит на кваліфікацію (так/ні).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Яка середня потреба у нових фахівцях щороку (приблизно).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Чи відповідають заявлені в ОП трудові функції реальному попиту.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Прогноз на 3–5 років (зростання, спад, ризики).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3EC2" w:rsidRDefault="00C754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Джерела аналізу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(вибірково або комбіновано)</w:t>
      </w:r>
    </w:p>
    <w:p w:rsidR="00813EC2" w:rsidRDefault="00C7540A">
      <w:pPr>
        <w:numPr>
          <w:ilvl w:val="0"/>
          <w:numId w:val="1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Державний центр зайнятості (ДСЗУ) – аналітичні бюлетені «Ринок праці»</w:t>
      </w:r>
      <w:hyperlink r:id="rId5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</w:hyperlink>
      <w:hyperlink r:id="rId52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dcz.gov.ua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13EC2" w:rsidRDefault="00C7540A">
      <w:pPr>
        <w:numPr>
          <w:ilvl w:val="0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Державна служба статистики України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Держстат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</w:t>
      </w:r>
      <w:hyperlink r:id="rId53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дані щодо зайнятості та оплати праці (</w:t>
        </w:r>
      </w:hyperlink>
      <w:hyperlink r:id="rId54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ukrstat.gov.ua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3EC2" w:rsidRDefault="00C7540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Комерційні та відкриті ресурси з вакансіями: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3EC2" w:rsidRDefault="00C7540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Work.ua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динаміка вакансій і резюме за 2024–2025 рр.</w:t>
      </w:r>
    </w:p>
    <w:p w:rsidR="00813EC2" w:rsidRDefault="00C7540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Robota.ua – аналітика зарплат і попиту/пропозиції за регіонами.</w:t>
      </w:r>
    </w:p>
    <w:p w:rsidR="00813EC2" w:rsidRDefault="00C7540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DOU.ua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опитування зарплат серед ІТ-спеціалістів (червень 2025).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3EC2" w:rsidRDefault="00C7540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Аналітика від професійних асоціацій (за наявності):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3EC2" w:rsidRDefault="00C7540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ІТ: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Ukraine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EASE (Європейська асоціація програмної інженерії).</w:t>
      </w:r>
    </w:p>
    <w:p w:rsidR="00813EC2" w:rsidRDefault="00C7540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Медична сфера: Асоціація роботодавців медичної галузі.</w:t>
      </w:r>
    </w:p>
    <w:p w:rsidR="00813EC2" w:rsidRDefault="00C7540A">
      <w:pPr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Інші галузеві союзи та палати.</w:t>
      </w:r>
      <w:r>
        <w:br w:type="page"/>
      </w:r>
    </w:p>
    <w:p w:rsidR="00813EC2" w:rsidRDefault="00C7540A">
      <w:pPr>
        <w:spacing w:before="280" w:line="240" w:lineRule="auto"/>
        <w:ind w:left="36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Додаток 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Лист-запит до роботодавців щодо надання оцінки потреби у працівниках з такою професійною кваліфікацією на ринку праці національного та/або регіонального рівнів від роботодавців та/або їх об’єднань</w:t>
      </w:r>
      <w:r>
        <w:rPr>
          <w:rFonts w:ascii="Times New Roman" w:eastAsia="Times New Roman" w:hAnsi="Times New Roman" w:cs="Times New Roman"/>
          <w:vertAlign w:val="superscript"/>
        </w:rPr>
        <w:footnoteReference w:id="23"/>
      </w:r>
    </w:p>
    <w:p w:rsidR="00813EC2" w:rsidRDefault="00813EC2">
      <w:pPr>
        <w:spacing w:before="280" w:line="240" w:lineRule="auto"/>
        <w:ind w:firstLine="56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EC2" w:rsidRDefault="00C7540A">
      <w:pPr>
        <w:spacing w:before="280" w:line="24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Керівнику [назва компанії / організації]</w:t>
      </w:r>
    </w:p>
    <w:p w:rsidR="00813EC2" w:rsidRDefault="00C7540A">
      <w:pPr>
        <w:spacing w:before="280" w:line="24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(ПІБ, посада)</w:t>
      </w:r>
    </w:p>
    <w:p w:rsidR="00813EC2" w:rsidRDefault="00813EC2">
      <w:pPr>
        <w:spacing w:before="280" w:line="24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3EC2" w:rsidRDefault="00C7540A">
      <w:pPr>
        <w:spacing w:before="280" w:line="240" w:lineRule="auto"/>
        <w:ind w:firstLine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Шановний(а) ______________________!</w:t>
      </w:r>
    </w:p>
    <w:p w:rsidR="00813EC2" w:rsidRDefault="00813EC2">
      <w:pPr>
        <w:spacing w:before="28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3EC2" w:rsidRDefault="00C7540A">
      <w:pPr>
        <w:spacing w:before="28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Київський національний університет імені Тараса Шевченка проводить роботу з удосконалення освітніх програм та підготовки пакету документів для погодження професійних кваліфікацій до Національного агентства кваліфікацій відповідно до Постанови Кабінету Міністрів України від 25 жовтня 2024 р. № 1223 «Деякі питання присвоєння професійних кваліфікацій закладами вищої освіти у разі відсутності професійного стандарту».</w:t>
      </w:r>
    </w:p>
    <w:p w:rsidR="00813EC2" w:rsidRDefault="00C7540A">
      <w:pPr>
        <w:spacing w:before="28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обґрунтування можливості присвоєння здобувачам вищої освіти професійної кваліфікації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Назва професійної кваліфікації та її 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необхідно підтвердити потребу на ринку праці у фахівцях з цією кваліфікацією.</w:t>
      </w:r>
    </w:p>
    <w:p w:rsidR="00813EC2" w:rsidRDefault="00C7540A">
      <w:pPr>
        <w:spacing w:before="28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Просимо Вас надати оцінку потреби у працівниках з професійною кваліфікацією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Назва професійної кваліфікації та її 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рівні Вашої компанії та (за можливості) на регіональному та національному рівні, а саме:</w:t>
      </w:r>
    </w:p>
    <w:p w:rsidR="00813EC2" w:rsidRDefault="00C7540A">
      <w:pPr>
        <w:numPr>
          <w:ilvl w:val="0"/>
          <w:numId w:val="14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наявної (поточної) та очікуваної (прогнозованої) потреби у працівниках із такою професійною кваліфікацією на рівні Вашої компанії та (за можливості) ринку в цілому;</w:t>
      </w:r>
    </w:p>
    <w:p w:rsidR="00813EC2" w:rsidRDefault="00C7540A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статистику чи приклади вакансій;</w:t>
      </w:r>
    </w:p>
    <w:p w:rsidR="00813EC2" w:rsidRDefault="00C7540A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підтвердження актуальності підготовки фахівців у цій сфері;</w:t>
      </w:r>
    </w:p>
    <w:p w:rsidR="00813EC2" w:rsidRDefault="00C7540A">
      <w:pPr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підтвердження або спростування актуальності знань, навичок та трудових функцій, зазначених у характеристиці професійної кваліфікації, сформованій університетом відповідно до вимог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ДКХП / ESCO/ISCO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(додається до листа). </w:t>
      </w:r>
    </w:p>
    <w:p w:rsidR="00813EC2" w:rsidRDefault="00C7540A">
      <w:pPr>
        <w:spacing w:before="28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Просимо, за можливості, оформити документ на офіційному бланку Вашої організації, підписати її керівником та завірити печаткою (за наявності). Зазначений документ буде використано як документ у пакеті матеріалів для подання до Національного агентства кваліфікацій.</w:t>
      </w:r>
    </w:p>
    <w:p w:rsidR="00813EC2" w:rsidRDefault="00C7540A">
      <w:pPr>
        <w:spacing w:before="28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Будемо щиро вдячні за Вашу підтримку у формуванні якісних освітніх програм та сприяння підготовці затребуваних на ринку праці фахівців.</w:t>
      </w:r>
    </w:p>
    <w:p w:rsidR="00813EC2" w:rsidRDefault="00C7540A">
      <w:pPr>
        <w:spacing w:before="28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повагою,</w:t>
      </w:r>
    </w:p>
    <w:p w:rsidR="00813EC2" w:rsidRDefault="00C7540A">
      <w:pPr>
        <w:spacing w:before="28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Гарант освітньої програми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4"/>
      </w:r>
    </w:p>
    <w:p w:rsidR="00813EC2" w:rsidRDefault="00C7540A">
      <w:pPr>
        <w:spacing w:before="28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 /ПІБ/</w:t>
      </w:r>
    </w:p>
    <w:p w:rsidR="00813EC2" w:rsidRDefault="00C7540A">
      <w:pPr>
        <w:spacing w:before="28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Контакти: __________________</w:t>
      </w:r>
    </w:p>
    <w:p w:rsidR="00813EC2" w:rsidRDefault="00C7540A">
      <w:pPr>
        <w:spacing w:before="28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Декан/директор факультету/інституту</w:t>
      </w:r>
    </w:p>
    <w:p w:rsidR="00813EC2" w:rsidRDefault="00C7540A">
      <w:pPr>
        <w:spacing w:before="280"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 /ПІБ/</w:t>
      </w:r>
    </w:p>
    <w:sectPr w:rsidR="00813EC2" w:rsidSect="007B5319">
      <w:pgSz w:w="11906" w:h="16838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07C" w:rsidRDefault="0053507C">
      <w:pPr>
        <w:spacing w:after="0" w:line="240" w:lineRule="auto"/>
      </w:pPr>
      <w:r>
        <w:separator/>
      </w:r>
    </w:p>
  </w:endnote>
  <w:endnote w:type="continuationSeparator" w:id="0">
    <w:p w:rsidR="0053507C" w:rsidRDefault="0053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07C" w:rsidRDefault="0053507C">
      <w:pPr>
        <w:spacing w:after="0" w:line="240" w:lineRule="auto"/>
      </w:pPr>
      <w:r>
        <w:separator/>
      </w:r>
    </w:p>
  </w:footnote>
  <w:footnote w:type="continuationSeparator" w:id="0">
    <w:p w:rsidR="0053507C" w:rsidRDefault="0053507C">
      <w:pPr>
        <w:spacing w:after="0" w:line="240" w:lineRule="auto"/>
      </w:pPr>
      <w:r>
        <w:continuationSeparator/>
      </w:r>
    </w:p>
  </w:footnote>
  <w:footnote w:id="1">
    <w:p w:rsidR="00813EC2" w:rsidRDefault="00C7540A">
      <w:pPr>
        <w:spacing w:line="235" w:lineRule="auto"/>
        <w:ind w:right="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Для освітніх програм, започаткованих у 2025 році, та таких, що були розпочаті до дня набрання чинності постановою Кабінету Міністрів України від 25 жовтня 2024 р. № 1223 “Деякі питання присвоєння професійних кваліфікацій закладами вищої освіти в разі відсутності професійного стандарту” процедуру погодження присвоєння професійної (професійних) кваліфікації (кваліфікацій) з Агентством заклад вищої освіти розпочинає до 31 грудня 2025 року.</w:t>
      </w:r>
    </w:p>
    <w:p w:rsidR="00813EC2" w:rsidRDefault="00813E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  <w:footnote w:id="2">
    <w:p w:rsidR="00813EC2" w:rsidRDefault="00C7540A">
      <w:pPr>
        <w:spacing w:line="235" w:lineRule="auto"/>
        <w:ind w:right="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Можливість присвоєння професійної кваліфікації ____________ скасовано рішенням НМР №___ від ___ (або Наказом ректора №___ від _____).</w:t>
      </w:r>
    </w:p>
    <w:p w:rsidR="00813EC2" w:rsidRDefault="00813EC2">
      <w:pPr>
        <w:rPr>
          <w:sz w:val="20"/>
          <w:szCs w:val="20"/>
        </w:rPr>
      </w:pPr>
    </w:p>
  </w:footnote>
  <w:footnote w:id="3">
    <w:p w:rsidR="00813EC2" w:rsidRDefault="00C7540A">
      <w:pPr>
        <w:spacing w:line="235" w:lineRule="auto"/>
        <w:ind w:right="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Як правило, гарант ОП.</w:t>
      </w:r>
    </w:p>
    <w:p w:rsidR="00813EC2" w:rsidRDefault="00813EC2">
      <w:pPr>
        <w:rPr>
          <w:sz w:val="20"/>
          <w:szCs w:val="20"/>
        </w:rPr>
      </w:pPr>
    </w:p>
  </w:footnote>
  <w:footnote w:id="4">
    <w:p w:rsidR="00813EC2" w:rsidRDefault="00C7540A">
      <w:pPr>
        <w:spacing w:line="235" w:lineRule="auto"/>
        <w:ind w:right="15" w:firstLine="567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Опис професійної кваліфікації (див. рис. Д2.1), можливо, уточнений  для  рівня НРК.</w:t>
      </w:r>
    </w:p>
  </w:footnote>
  <w:footnote w:id="5">
    <w:p w:rsidR="00813EC2" w:rsidRDefault="00C7540A">
      <w:pPr>
        <w:spacing w:line="235" w:lineRule="auto"/>
        <w:ind w:right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програм 2025 року.</w:t>
      </w:r>
    </w:p>
    <w:p w:rsidR="00813EC2" w:rsidRDefault="00813EC2">
      <w:pPr>
        <w:rPr>
          <w:sz w:val="20"/>
          <w:szCs w:val="20"/>
        </w:rPr>
      </w:pPr>
    </w:p>
  </w:footnote>
  <w:footnote w:id="6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Див Додаток 2</w:t>
      </w:r>
    </w:p>
  </w:footnote>
  <w:footnote w:id="7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Див Додаток 2</w:t>
      </w:r>
    </w:p>
  </w:footnote>
  <w:footnote w:id="8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Див Додаток 2</w:t>
      </w:r>
    </w:p>
  </w:footnote>
  <w:footnote w:id="9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Див Додаток 2</w:t>
      </w:r>
    </w:p>
  </w:footnote>
  <w:footnote w:id="10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 професійного стандарту, ДКХП або ESCO/ISCO.</w:t>
      </w:r>
    </w:p>
  </w:footnote>
  <w:footnote w:id="11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 професійного стандарту, ДКХП або ESCO/ISCO.</w:t>
      </w:r>
    </w:p>
  </w:footnote>
  <w:footnote w:id="12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За освітньою програмою.</w:t>
      </w:r>
    </w:p>
  </w:footnote>
  <w:footnote w:id="13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За освітньою програмою.</w:t>
      </w:r>
    </w:p>
  </w:footnote>
  <w:footnote w:id="14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 професійного стандарту, ДКХП або ESCO/ISCO.</w:t>
      </w:r>
    </w:p>
  </w:footnote>
  <w:footnote w:id="15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>Код освітнього компонента за ОП</w:t>
      </w:r>
    </w:p>
  </w:footnote>
  <w:footnote w:id="16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 професійного стандарту, ДКХП або ESCO/ISCO.</w:t>
      </w:r>
    </w:p>
  </w:footnote>
  <w:footnote w:id="17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>Код освітнього компонента за ОП</w:t>
      </w:r>
    </w:p>
  </w:footnote>
  <w:footnote w:id="18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Компетентності з ESCO до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ОП.</w:t>
      </w:r>
    </w:p>
  </w:footnote>
  <w:footnote w:id="19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Знання з ESCO до програмних результатів навчання.</w:t>
      </w:r>
    </w:p>
  </w:footnote>
  <w:footnote w:id="20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Лише за умови відсутності професійного стандарту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</w:footnote>
  <w:footnote w:id="21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Лише за умови відсутності професійного стандарту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</w:footnote>
  <w:footnote w:id="22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Якщо присвоєння професійної кваліфікації передбачається за кількома освітніми програмами, допускається оформлення спільного аналізу потреби у працівниках професійної кваліфікації. У такому разі до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пакетуа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документів обов’язково додається завірена копія документа.</w:t>
      </w:r>
    </w:p>
  </w:footnote>
  <w:footnote w:id="23">
    <w:p w:rsidR="00813EC2" w:rsidRDefault="00C7540A">
      <w:pPr>
        <w:spacing w:line="235" w:lineRule="auto"/>
        <w:ind w:right="1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Якщо присвоєння професійної кваліфікації передбачається за кількома освітніми програмами, допускається оформлення спільного листа роботодавців з підтвердженням потреби у працівниках професійної кваліфікації. У такому разі до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пакетуа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документів обов’язково додається завірена копія документа.</w:t>
      </w:r>
    </w:p>
  </w:footnote>
  <w:footnote w:id="24">
    <w:p w:rsidR="00813EC2" w:rsidRDefault="00C7540A">
      <w:pPr>
        <w:spacing w:line="235" w:lineRule="auto"/>
        <w:ind w:right="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Якщо присвоєння професійної кваліфікації передбачається за декількома освітніми програмами, то зазначати лише підпис лише керівника структурного підрозділу.</w:t>
      </w:r>
    </w:p>
    <w:p w:rsidR="00813EC2" w:rsidRDefault="00813EC2">
      <w:pPr>
        <w:rPr>
          <w:sz w:val="20"/>
          <w:szCs w:val="20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C2" w:rsidRDefault="00813EC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4536"/>
        <w:tab w:val="right" w:pos="9072"/>
      </w:tabs>
      <w:spacing w:line="240" w:lineRule="auto"/>
      <w:ind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3F39"/>
    <w:multiLevelType w:val="multilevel"/>
    <w:tmpl w:val="606470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B381DDB"/>
    <w:multiLevelType w:val="multilevel"/>
    <w:tmpl w:val="33386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D801D1D"/>
    <w:multiLevelType w:val="multilevel"/>
    <w:tmpl w:val="27E27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013C4"/>
    <w:multiLevelType w:val="multilevel"/>
    <w:tmpl w:val="F57A1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C0D474A"/>
    <w:multiLevelType w:val="multilevel"/>
    <w:tmpl w:val="2DFEE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D3A9D"/>
    <w:multiLevelType w:val="multilevel"/>
    <w:tmpl w:val="BB2E71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A7351"/>
    <w:multiLevelType w:val="multilevel"/>
    <w:tmpl w:val="606C7A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238D1DE5"/>
    <w:multiLevelType w:val="multilevel"/>
    <w:tmpl w:val="0BECD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3D42817"/>
    <w:multiLevelType w:val="multilevel"/>
    <w:tmpl w:val="8A52F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2A6D5CC5"/>
    <w:multiLevelType w:val="multilevel"/>
    <w:tmpl w:val="8298A7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2F976D5F"/>
    <w:multiLevelType w:val="multilevel"/>
    <w:tmpl w:val="46DCEB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31A83DD1"/>
    <w:multiLevelType w:val="multilevel"/>
    <w:tmpl w:val="609803A4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3BB30EA1"/>
    <w:multiLevelType w:val="multilevel"/>
    <w:tmpl w:val="DD5A4C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3F920F60"/>
    <w:multiLevelType w:val="multilevel"/>
    <w:tmpl w:val="2B3027E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4">
    <w:nsid w:val="5BF470BA"/>
    <w:multiLevelType w:val="multilevel"/>
    <w:tmpl w:val="E1028E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5DB77E58"/>
    <w:multiLevelType w:val="multilevel"/>
    <w:tmpl w:val="87F655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63E51DB2"/>
    <w:multiLevelType w:val="multilevel"/>
    <w:tmpl w:val="DE922B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6B01408C"/>
    <w:multiLevelType w:val="multilevel"/>
    <w:tmpl w:val="D9842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6E092158"/>
    <w:multiLevelType w:val="multilevel"/>
    <w:tmpl w:val="ED34A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E816E3D"/>
    <w:multiLevelType w:val="multilevel"/>
    <w:tmpl w:val="F042D5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4"/>
  </w:num>
  <w:num w:numId="5">
    <w:abstractNumId w:val="2"/>
  </w:num>
  <w:num w:numId="6">
    <w:abstractNumId w:val="13"/>
  </w:num>
  <w:num w:numId="7">
    <w:abstractNumId w:val="12"/>
  </w:num>
  <w:num w:numId="8">
    <w:abstractNumId w:val="6"/>
  </w:num>
  <w:num w:numId="9">
    <w:abstractNumId w:val="14"/>
  </w:num>
  <w:num w:numId="10">
    <w:abstractNumId w:val="3"/>
  </w:num>
  <w:num w:numId="11">
    <w:abstractNumId w:val="18"/>
  </w:num>
  <w:num w:numId="12">
    <w:abstractNumId w:val="9"/>
  </w:num>
  <w:num w:numId="13">
    <w:abstractNumId w:val="1"/>
  </w:num>
  <w:num w:numId="14">
    <w:abstractNumId w:val="17"/>
  </w:num>
  <w:num w:numId="15">
    <w:abstractNumId w:val="8"/>
  </w:num>
  <w:num w:numId="16">
    <w:abstractNumId w:val="16"/>
  </w:num>
  <w:num w:numId="17">
    <w:abstractNumId w:val="15"/>
  </w:num>
  <w:num w:numId="18">
    <w:abstractNumId w:val="0"/>
  </w:num>
  <w:num w:numId="19">
    <w:abstractNumId w:val="11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3EC2"/>
    <w:rsid w:val="001654B0"/>
    <w:rsid w:val="001F5936"/>
    <w:rsid w:val="0035634D"/>
    <w:rsid w:val="0053507C"/>
    <w:rsid w:val="007B5319"/>
    <w:rsid w:val="00813EC2"/>
    <w:rsid w:val="008B38F5"/>
    <w:rsid w:val="009310C0"/>
    <w:rsid w:val="009A0D4D"/>
    <w:rsid w:val="009F69BE"/>
    <w:rsid w:val="00A10F23"/>
    <w:rsid w:val="00BB2332"/>
    <w:rsid w:val="00C75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B5319"/>
  </w:style>
  <w:style w:type="paragraph" w:styleId="1">
    <w:name w:val="heading 1"/>
    <w:basedOn w:val="a"/>
    <w:next w:val="a"/>
    <w:rsid w:val="007B5319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rsid w:val="007B5319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7B531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7B531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7B531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7B531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rsid w:val="007B5319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rsid w:val="007B5319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rsid w:val="007B5319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uiPriority w:val="9"/>
    <w:rsid w:val="00643C2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uiPriority w:val="99"/>
    <w:unhideWhenUsed/>
    <w:rsid w:val="0064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643C2C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67B77"/>
    <w:rPr>
      <w:b/>
      <w:bCs/>
    </w:rPr>
  </w:style>
  <w:style w:type="paragraph" w:styleId="a7">
    <w:name w:val="List Paragraph"/>
    <w:uiPriority w:val="34"/>
    <w:qFormat/>
    <w:rsid w:val="00067B77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067B77"/>
    <w:rPr>
      <w:sz w:val="16"/>
      <w:szCs w:val="16"/>
    </w:rPr>
  </w:style>
  <w:style w:type="paragraph" w:styleId="a9">
    <w:name w:val="annotation text"/>
    <w:link w:val="aa"/>
    <w:uiPriority w:val="99"/>
    <w:semiHidden/>
    <w:unhideWhenUsed/>
    <w:rsid w:val="00067B7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67B7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67B7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67B77"/>
    <w:rPr>
      <w:b/>
      <w:bCs/>
      <w:sz w:val="20"/>
      <w:szCs w:val="20"/>
    </w:rPr>
  </w:style>
  <w:style w:type="paragraph" w:styleId="ad">
    <w:name w:val="Balloon Text"/>
    <w:link w:val="ae"/>
    <w:uiPriority w:val="99"/>
    <w:semiHidden/>
    <w:unhideWhenUsed/>
    <w:rsid w:val="00067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B7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uiPriority w:val="9"/>
    <w:rsid w:val="00F863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">
    <w:name w:val="footnote reference"/>
    <w:qFormat/>
    <w:rsid w:val="00313E7A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rvps2">
    <w:name w:val="rvps2"/>
    <w:rsid w:val="0031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0">
    <w:name w:val="Нормальний текст"/>
    <w:rsid w:val="00E12E95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eastAsia="ru-RU"/>
    </w:rPr>
  </w:style>
  <w:style w:type="paragraph" w:customStyle="1" w:styleId="af1">
    <w:name w:val="Назва документа"/>
    <w:next w:val="af0"/>
    <w:rsid w:val="00E12E95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eastAsia="ru-RU"/>
    </w:rPr>
  </w:style>
  <w:style w:type="character" w:styleId="af2">
    <w:name w:val="FollowedHyperlink"/>
    <w:basedOn w:val="a0"/>
    <w:uiPriority w:val="99"/>
    <w:semiHidden/>
    <w:unhideWhenUsed/>
    <w:rsid w:val="00834D36"/>
    <w:rPr>
      <w:color w:val="954F72" w:themeColor="followedHyperlink"/>
      <w:u w:val="single"/>
    </w:rPr>
  </w:style>
  <w:style w:type="paragraph" w:styleId="af3">
    <w:name w:val="Body Text"/>
    <w:link w:val="af4"/>
    <w:rsid w:val="007B67B3"/>
    <w:pPr>
      <w:widowControl w:val="0"/>
      <w:suppressAutoHyphens/>
      <w:autoSpaceDE w:val="0"/>
      <w:autoSpaceDN w:val="0"/>
      <w:spacing w:after="0" w:line="1" w:lineRule="atLeast"/>
      <w:ind w:leftChars="-1" w:left="1416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8"/>
      <w:szCs w:val="28"/>
    </w:rPr>
  </w:style>
  <w:style w:type="character" w:customStyle="1" w:styleId="af4">
    <w:name w:val="Основной текст Знак"/>
    <w:basedOn w:val="a0"/>
    <w:link w:val="af3"/>
    <w:rsid w:val="007B67B3"/>
    <w:rPr>
      <w:rFonts w:ascii="Times New Roman" w:eastAsia="Times New Roman" w:hAnsi="Times New Roman" w:cs="Times New Roman"/>
      <w:position w:val="-1"/>
      <w:sz w:val="28"/>
      <w:szCs w:val="28"/>
    </w:rPr>
  </w:style>
  <w:style w:type="table" w:customStyle="1" w:styleId="af5">
    <w:basedOn w:val="TableNormal0"/>
    <w:rsid w:val="007B531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rsid w:val="007B531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rsid w:val="007B531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rsid w:val="007B531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rsid w:val="007B531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fff7">
    <w:name w:val="Subtitle"/>
    <w:basedOn w:val="a"/>
    <w:next w:val="a"/>
    <w:rsid w:val="007B531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fffffff8">
    <w:basedOn w:val="TableNormal0"/>
    <w:rsid w:val="007B531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9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0"/>
    <w:rsid w:val="007B531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d">
    <w:basedOn w:val="TableNormal0"/>
    <w:rsid w:val="007B531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e">
    <w:basedOn w:val="TableNormal0"/>
    <w:rsid w:val="007B531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">
    <w:basedOn w:val="TableNormal0"/>
    <w:rsid w:val="007B531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ff0">
    <w:basedOn w:val="TableNormal0"/>
    <w:rsid w:val="007B53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akon.rada.gov.ua/rada/show/va327609-10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register.nqa.gov.ua/profstandarts" TargetMode="External"/><Relationship Id="rId39" Type="http://schemas.openxmlformats.org/officeDocument/2006/relationships/hyperlink" Target="https://zakon.rada.gov.ua/rada/show/va327609-10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www.ilo.org/sites/default/files/wcmsp5/groups/public/@dgreports/@dcomm/@publ/documents/publication/wcms_172572.pdf" TargetMode="External"/><Relationship Id="rId42" Type="http://schemas.openxmlformats.org/officeDocument/2006/relationships/hyperlink" Target="https://docs.google.com/document/d/1nVCkSU10xyXhR0FGYJdslThOZgUsAaSV" TargetMode="External"/><Relationship Id="rId47" Type="http://schemas.openxmlformats.org/officeDocument/2006/relationships/hyperlink" Target="http://work.ua/stat" TargetMode="External"/><Relationship Id="rId50" Type="http://schemas.openxmlformats.org/officeDocument/2006/relationships/hyperlink" Target="https://ukrstat.gov.ua/?utm_source=chatgpt.com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e.gov.ua/Profession/List?lang=uk-UA&amp;id=d4162ef8-2771-4ac5-99ef-1d4b6f5336af&amp;tag=KlasifikatorProfesii-Poshuk" TargetMode="External"/><Relationship Id="rId17" Type="http://schemas.openxmlformats.org/officeDocument/2006/relationships/hyperlink" Target="https://zakon.rada.gov.ua/rada/file/text/63/f335720n22.doc" TargetMode="External"/><Relationship Id="rId25" Type="http://schemas.openxmlformats.org/officeDocument/2006/relationships/hyperlink" Target="https://zakon.rada.gov.ua/rada/show/v1410930-24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zakon.rada.gov.ua/rada/show/va327609-10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zakon.rada.gov.ua/rada/show/va327609-10" TargetMode="External"/><Relationship Id="rId20" Type="http://schemas.openxmlformats.org/officeDocument/2006/relationships/hyperlink" Target="https://zakon.rada.gov.ua/rada/show/v0336203-04" TargetMode="External"/><Relationship Id="rId29" Type="http://schemas.openxmlformats.org/officeDocument/2006/relationships/hyperlink" Target="https://esco.ec.europa.eu/en/classification/occupation_main" TargetMode="External"/><Relationship Id="rId41" Type="http://schemas.openxmlformats.org/officeDocument/2006/relationships/hyperlink" Target="https://register.nqa.gov.ua/profstandarts" TargetMode="External"/><Relationship Id="rId54" Type="http://schemas.openxmlformats.org/officeDocument/2006/relationships/hyperlink" Target="https://ukrstat.gov.ua/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kon.rada.gov.ua/rada/show/va327609-10" TargetMode="External"/><Relationship Id="rId24" Type="http://schemas.openxmlformats.org/officeDocument/2006/relationships/hyperlink" Target="https://zakon.rada.gov.ua/rada/show/va327609-10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register.nqa.gov.ua/profesijni-kvalifikaciyi-zvo" TargetMode="External"/><Relationship Id="rId40" Type="http://schemas.openxmlformats.org/officeDocument/2006/relationships/hyperlink" Target="https://zakon.rada.gov.ua/rada/show/va327609-10" TargetMode="External"/><Relationship Id="rId45" Type="http://schemas.openxmlformats.org/officeDocument/2006/relationships/image" Target="media/image9.png"/><Relationship Id="rId53" Type="http://schemas.openxmlformats.org/officeDocument/2006/relationships/hyperlink" Target="https://ukrstat.gov.ua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zakon.rada.gov.ua/rada/show/va327609-10" TargetMode="External"/><Relationship Id="rId28" Type="http://schemas.openxmlformats.org/officeDocument/2006/relationships/hyperlink" Target="https://zakon.rada.gov.ua/rada/file/text/63/f335720n22.doc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s://jobs.dou.ua/salaries/?utm_source=chatgpt.com" TargetMode="External"/><Relationship Id="rId10" Type="http://schemas.openxmlformats.org/officeDocument/2006/relationships/hyperlink" Target="https://register.nqa.gov.ua/profstandarts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esco.ec.europa.eu/en/classification/occupation_main" TargetMode="External"/><Relationship Id="rId44" Type="http://schemas.openxmlformats.org/officeDocument/2006/relationships/hyperlink" Target="https://esco.ec.europa.eu/en/classification/occupation?uri=http://data.europa.eu/esco/occupation/f2b15a0e-e65a-438a-affb-29b9d50b77d1" TargetMode="External"/><Relationship Id="rId52" Type="http://schemas.openxmlformats.org/officeDocument/2006/relationships/hyperlink" Target="https://www.dcz.gov.ua/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kon.rada.gov.ua/rada/show/va327609-10" TargetMode="External"/><Relationship Id="rId14" Type="http://schemas.openxmlformats.org/officeDocument/2006/relationships/hyperlink" Target="https://register.nqa.gov.ua/profstandarts" TargetMode="External"/><Relationship Id="rId22" Type="http://schemas.openxmlformats.org/officeDocument/2006/relationships/hyperlink" Target="https://register.nqa.gov.ua/profesijni-kvalifikaciyi-zvo" TargetMode="External"/><Relationship Id="rId27" Type="http://schemas.openxmlformats.org/officeDocument/2006/relationships/hyperlink" Target="https://zakon.rada.gov.ua/rada/show/va327609-10" TargetMode="External"/><Relationship Id="rId30" Type="http://schemas.openxmlformats.org/officeDocument/2006/relationships/hyperlink" Target="https://esco.ec.europa.eu/en/classification/occupation?uri=http://data.europa.eu/esco/occupation/f2b15a0e-e65a-438a-affb-29b9d50b77d1" TargetMode="External"/><Relationship Id="rId35" Type="http://schemas.openxmlformats.org/officeDocument/2006/relationships/image" Target="media/image7.png"/><Relationship Id="rId43" Type="http://schemas.openxmlformats.org/officeDocument/2006/relationships/hyperlink" Target="https://docs.google.com/document/d/1OaQj2BSmWRB0Leo8vaNBqGp_Kk5IElbJ/edit?usp=drive_link&amp;ouid=103799280222328658185&amp;rtpof=true&amp;sd=true" TargetMode="External"/><Relationship Id="rId48" Type="http://schemas.openxmlformats.org/officeDocument/2006/relationships/hyperlink" Target="http://robota.ua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me.gov.ua/Profession/List?lang=uk-UA&amp;id=d4162ef8-2771-4ac5-99ef-1d4b6f5336af&amp;tag=KlasifikatorProfesii-Poshuk" TargetMode="External"/><Relationship Id="rId51" Type="http://schemas.openxmlformats.org/officeDocument/2006/relationships/hyperlink" Target="https://www.dcz.gov.ua/?utm_source=chatgpt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1C3da+qVFyjcgY9NGZXVXMMdHA==">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31</Pages>
  <Words>23957</Words>
  <Characters>13657</Characters>
  <Application>Microsoft Office Word</Application>
  <DocSecurity>0</DocSecurity>
  <Lines>113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</dc:creator>
  <cp:lastModifiedBy>Андрій Гожик</cp:lastModifiedBy>
  <cp:revision>5</cp:revision>
  <cp:lastPrinted>2025-09-22T17:22:00Z</cp:lastPrinted>
  <dcterms:created xsi:type="dcterms:W3CDTF">2025-09-22T15:20:00Z</dcterms:created>
  <dcterms:modified xsi:type="dcterms:W3CDTF">2025-09-22T17:25:00Z</dcterms:modified>
</cp:coreProperties>
</file>