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3720C" w14:textId="117B01D8" w:rsidR="00DF70C0" w:rsidRPr="00B712BA" w:rsidRDefault="00DF70C0" w:rsidP="00F234B0">
      <w:pPr>
        <w:spacing w:after="0"/>
        <w:ind w:left="-1276" w:right="-285"/>
        <w:jc w:val="both"/>
      </w:pPr>
      <w:r w:rsidRPr="00B712BA">
        <w:t>Слайд 1 ---------------------------------------------------------------------------------------------------------</w:t>
      </w:r>
    </w:p>
    <w:p w14:paraId="32406EB9" w14:textId="5C7B6A9F" w:rsidR="00DF70C0" w:rsidRDefault="00DF70C0" w:rsidP="00E24A5E">
      <w:pPr>
        <w:spacing w:after="0"/>
        <w:ind w:left="-1276" w:right="-285"/>
        <w:jc w:val="both"/>
      </w:pPr>
      <w:r w:rsidRPr="00B712BA">
        <w:t>Доброго дня, шановні колеги. Мене звати Завгородній Олексій. Тема моєї доповіді — застосування моделей комп’ютерного зору до оцінки концентрації заліза у кремнієвих сонячних елементах.</w:t>
      </w:r>
    </w:p>
    <w:p w14:paraId="21D6F866" w14:textId="77777777" w:rsidR="00E24A5E" w:rsidRPr="00B712BA" w:rsidRDefault="00E24A5E" w:rsidP="00E24A5E">
      <w:pPr>
        <w:spacing w:after="0"/>
        <w:ind w:left="-1276" w:right="-285"/>
        <w:jc w:val="both"/>
      </w:pPr>
    </w:p>
    <w:p w14:paraId="2EB69A89" w14:textId="07C3C259" w:rsidR="00F12C76" w:rsidRPr="00B712BA" w:rsidRDefault="00547EBC" w:rsidP="00F234B0">
      <w:pPr>
        <w:spacing w:after="0"/>
        <w:ind w:left="-1276" w:right="-285"/>
        <w:jc w:val="both"/>
      </w:pPr>
      <w:r w:rsidRPr="00B712BA">
        <w:t>Слайд 2 ---------------------------------------------------------------------------------------------------------</w:t>
      </w:r>
    </w:p>
    <w:p w14:paraId="092C68F9" w14:textId="657DB225" w:rsidR="00DF70C0" w:rsidRDefault="00C67DE5" w:rsidP="00E24A5E">
      <w:pPr>
        <w:spacing w:after="0"/>
        <w:ind w:left="-1276" w:right="-285"/>
        <w:jc w:val="both"/>
        <w:rPr>
          <w:szCs w:val="28"/>
        </w:rPr>
      </w:pPr>
      <w:r w:rsidRPr="00C67DE5">
        <w:rPr>
          <w:szCs w:val="28"/>
        </w:rPr>
        <w:t xml:space="preserve">Штучний інтелект знаходить все більше застосування у фізиці напівпровідників, включно із вирішенням завдань, пов’язаних із </w:t>
      </w:r>
      <w:proofErr w:type="spellStart"/>
      <w:r w:rsidRPr="00C67DE5">
        <w:rPr>
          <w:szCs w:val="28"/>
        </w:rPr>
        <w:t>характеризацією</w:t>
      </w:r>
      <w:proofErr w:type="spellEnd"/>
      <w:r w:rsidRPr="00C67DE5">
        <w:rPr>
          <w:szCs w:val="28"/>
        </w:rPr>
        <w:t xml:space="preserve"> дефектів, </w:t>
      </w:r>
      <w:r>
        <w:rPr>
          <w:szCs w:val="28"/>
        </w:rPr>
        <w:t>однак</w:t>
      </w:r>
      <w:r w:rsidRPr="00C67DE5">
        <w:rPr>
          <w:szCs w:val="28"/>
        </w:rPr>
        <w:t xml:space="preserve"> його ефективне </w:t>
      </w:r>
      <w:r>
        <w:rPr>
          <w:szCs w:val="28"/>
        </w:rPr>
        <w:t>впровадження часто</w:t>
      </w:r>
      <w:r w:rsidRPr="00C67DE5">
        <w:rPr>
          <w:szCs w:val="28"/>
        </w:rPr>
        <w:t xml:space="preserve"> обмежене браком експериментальних даних</w:t>
      </w:r>
      <w:r>
        <w:rPr>
          <w:szCs w:val="28"/>
        </w:rPr>
        <w:t xml:space="preserve"> для тренування відповідних моделей</w:t>
      </w:r>
      <w:r w:rsidRPr="00C67DE5">
        <w:rPr>
          <w:szCs w:val="28"/>
        </w:rPr>
        <w:t>.</w:t>
      </w:r>
      <w:r>
        <w:rPr>
          <w:szCs w:val="28"/>
        </w:rPr>
        <w:t xml:space="preserve"> </w:t>
      </w:r>
      <w:r w:rsidR="00271628" w:rsidRPr="00271628">
        <w:rPr>
          <w:szCs w:val="28"/>
        </w:rPr>
        <w:t xml:space="preserve">Для вирішення цієї проблеми </w:t>
      </w:r>
      <w:r w:rsidR="00271628">
        <w:rPr>
          <w:szCs w:val="28"/>
        </w:rPr>
        <w:t xml:space="preserve">ми представляємо </w:t>
      </w:r>
      <w:r w:rsidR="00AC618B">
        <w:rPr>
          <w:szCs w:val="28"/>
        </w:rPr>
        <w:t>інноваційний</w:t>
      </w:r>
      <w:r w:rsidR="00271628">
        <w:rPr>
          <w:szCs w:val="28"/>
        </w:rPr>
        <w:t xml:space="preserve"> підхід, що базується на перетворенні </w:t>
      </w:r>
      <w:r w:rsidR="00420B39">
        <w:rPr>
          <w:szCs w:val="28"/>
        </w:rPr>
        <w:t>змодельованих кривих</w:t>
      </w:r>
      <w:r w:rsidR="00271628">
        <w:rPr>
          <w:szCs w:val="28"/>
        </w:rPr>
        <w:t xml:space="preserve"> релаксації струму короткого замикання у вейвлет-спектрограми, які використовуються для навчання мережі </w:t>
      </w:r>
      <w:r w:rsidR="00271628" w:rsidRPr="00271628">
        <w:rPr>
          <w:szCs w:val="28"/>
        </w:rPr>
        <w:t>EfficientNetB7</w:t>
      </w:r>
      <w:r w:rsidR="00271628">
        <w:rPr>
          <w:szCs w:val="28"/>
        </w:rPr>
        <w:t xml:space="preserve"> з використанням популярного методу </w:t>
      </w:r>
      <w:proofErr w:type="spellStart"/>
      <w:r w:rsidR="00271628" w:rsidRPr="00271628">
        <w:rPr>
          <w:szCs w:val="28"/>
        </w:rPr>
        <w:t>Transfer</w:t>
      </w:r>
      <w:proofErr w:type="spellEnd"/>
      <w:r w:rsidR="00271628" w:rsidRPr="00271628">
        <w:rPr>
          <w:szCs w:val="28"/>
        </w:rPr>
        <w:t xml:space="preserve"> </w:t>
      </w:r>
      <w:proofErr w:type="spellStart"/>
      <w:r w:rsidR="00271628" w:rsidRPr="00271628">
        <w:rPr>
          <w:szCs w:val="28"/>
        </w:rPr>
        <w:t>Learning</w:t>
      </w:r>
      <w:proofErr w:type="spellEnd"/>
      <w:r w:rsidR="006F3FE4">
        <w:rPr>
          <w:szCs w:val="28"/>
        </w:rPr>
        <w:t>, для визначення концентрації забруднюючого заліза</w:t>
      </w:r>
      <w:r w:rsidR="00BE2B35">
        <w:rPr>
          <w:szCs w:val="28"/>
        </w:rPr>
        <w:t xml:space="preserve"> в сонячному елементі</w:t>
      </w:r>
      <w:r w:rsidR="00420B39" w:rsidRPr="00420B39">
        <w:rPr>
          <w:szCs w:val="28"/>
        </w:rPr>
        <w:t xml:space="preserve">. </w:t>
      </w:r>
    </w:p>
    <w:p w14:paraId="6CBC5E3F" w14:textId="77777777" w:rsidR="00E24A5E" w:rsidRPr="00E24A5E" w:rsidRDefault="00E24A5E" w:rsidP="00E24A5E">
      <w:pPr>
        <w:spacing w:after="0"/>
        <w:ind w:left="-1276" w:right="-285"/>
        <w:jc w:val="both"/>
        <w:rPr>
          <w:szCs w:val="28"/>
        </w:rPr>
      </w:pPr>
    </w:p>
    <w:p w14:paraId="643120A9" w14:textId="6E614B5D" w:rsidR="0042173B" w:rsidRDefault="0042173B" w:rsidP="00F234B0">
      <w:pPr>
        <w:spacing w:after="0"/>
        <w:ind w:left="-1276" w:right="-285"/>
        <w:jc w:val="both"/>
      </w:pPr>
      <w:r>
        <w:t>Слайд 3 ----------------------------------------------------------------------------------------------------------</w:t>
      </w:r>
    </w:p>
    <w:p w14:paraId="1ECD8092" w14:textId="60B75F95" w:rsidR="008701C6" w:rsidRDefault="0042173B" w:rsidP="00E24A5E">
      <w:pPr>
        <w:ind w:left="-1276" w:right="-376"/>
        <w:jc w:val="both"/>
        <w:rPr>
          <w:rFonts w:cs="Times New Roman"/>
        </w:rPr>
      </w:pPr>
      <w:r w:rsidRPr="00B712BA">
        <w:rPr>
          <w:rFonts w:cs="Times New Roman"/>
        </w:rPr>
        <w:t xml:space="preserve">Для підготовки </w:t>
      </w:r>
      <w:r>
        <w:rPr>
          <w:rFonts w:cs="Times New Roman"/>
        </w:rPr>
        <w:t>тренувальної бази даних</w:t>
      </w:r>
      <w:r w:rsidRPr="00B712BA">
        <w:rPr>
          <w:rFonts w:cs="Times New Roman"/>
        </w:rPr>
        <w:t xml:space="preserve"> ми </w:t>
      </w:r>
      <w:r w:rsidR="0070591E">
        <w:rPr>
          <w:rFonts w:cs="Times New Roman"/>
        </w:rPr>
        <w:t>з</w:t>
      </w:r>
      <w:r w:rsidRPr="00B712BA">
        <w:rPr>
          <w:rFonts w:cs="Times New Roman"/>
        </w:rPr>
        <w:t xml:space="preserve">моделювали часові залежності струму короткого замикання для кремнієвих сонячних елементів </w:t>
      </w:r>
      <w:r w:rsidR="00DA1482">
        <w:rPr>
          <w:rFonts w:cs="Times New Roman"/>
        </w:rPr>
        <w:t xml:space="preserve">після інтенсивного освітлення. </w:t>
      </w:r>
      <w:r w:rsidR="00E24A5E">
        <w:rPr>
          <w:rFonts w:cs="Times New Roman"/>
        </w:rPr>
        <w:t>М</w:t>
      </w:r>
      <w:r w:rsidR="00E24A5E" w:rsidRPr="00B712BA">
        <w:rPr>
          <w:rFonts w:cs="Times New Roman"/>
        </w:rPr>
        <w:t>оделювання проводили в часовому діапазоні</w:t>
      </w:r>
      <w:r w:rsidR="00E24A5E" w:rsidRPr="007A1D55">
        <w:rPr>
          <w:rFonts w:cs="Times New Roman"/>
        </w:rPr>
        <w:t xml:space="preserve"> від 20 до 2920 секунд з кроком 100 секунд. Для кожного моменту часу </w:t>
      </w:r>
      <w:r w:rsidR="0070591E">
        <w:rPr>
          <w:rFonts w:cs="Times New Roman"/>
        </w:rPr>
        <w:t>та для кожної концентрації бору моделювалося</w:t>
      </w:r>
      <w:r w:rsidR="00E24A5E" w:rsidRPr="007A1D55">
        <w:rPr>
          <w:rFonts w:cs="Times New Roman"/>
        </w:rPr>
        <w:t xml:space="preserve"> 25 зразків з різними концентраціями заліза в діапазоні від 10¹⁰ до 10¹⁴ см⁻³</w:t>
      </w:r>
      <w:r w:rsidR="00E24A5E" w:rsidRPr="00B712BA">
        <w:rPr>
          <w:rFonts w:cs="Times New Roman"/>
        </w:rPr>
        <w:t>.</w:t>
      </w:r>
      <w:r w:rsidR="0070591E">
        <w:rPr>
          <w:rFonts w:cs="Times New Roman"/>
        </w:rPr>
        <w:t xml:space="preserve"> </w:t>
      </w:r>
    </w:p>
    <w:p w14:paraId="338B234D" w14:textId="77777777" w:rsidR="008701C6" w:rsidRPr="00B712BA" w:rsidRDefault="008701C6" w:rsidP="008701C6">
      <w:pPr>
        <w:spacing w:after="0"/>
        <w:ind w:left="-1276" w:right="-285"/>
        <w:jc w:val="both"/>
      </w:pPr>
      <w:r w:rsidRPr="00B712BA">
        <w:t xml:space="preserve">Слайд </w:t>
      </w:r>
      <w:r>
        <w:t>4</w:t>
      </w:r>
      <w:r w:rsidRPr="00B712BA">
        <w:t xml:space="preserve"> ----------------------------------------------------------------------------------------------------------</w:t>
      </w:r>
    </w:p>
    <w:p w14:paraId="7BD6163D" w14:textId="0E6F7878" w:rsidR="008701C6" w:rsidRPr="00B712BA" w:rsidRDefault="008701C6" w:rsidP="008701C6">
      <w:pPr>
        <w:ind w:left="-1276" w:right="-376"/>
        <w:jc w:val="both"/>
        <w:rPr>
          <w:rFonts w:cs="Times New Roman"/>
          <w:szCs w:val="28"/>
        </w:rPr>
      </w:pPr>
      <w:r w:rsidRPr="00B712BA">
        <w:rPr>
          <w:rFonts w:cs="Times New Roman"/>
        </w:rPr>
        <w:t xml:space="preserve">Для моделювання </w:t>
      </w:r>
      <w:r w:rsidR="0070591E">
        <w:rPr>
          <w:rFonts w:cs="Times New Roman"/>
        </w:rPr>
        <w:t>структури</w:t>
      </w:r>
      <w:r w:rsidRPr="00B712BA">
        <w:rPr>
          <w:rFonts w:cs="Times New Roman"/>
        </w:rPr>
        <w:t xml:space="preserve"> </w:t>
      </w:r>
      <w:r w:rsidR="0070591E">
        <w:rPr>
          <w:rFonts w:cs="Times New Roman"/>
        </w:rPr>
        <w:t xml:space="preserve">ми </w:t>
      </w:r>
      <w:r w:rsidRPr="00B712BA">
        <w:rPr>
          <w:rFonts w:cs="Times New Roman"/>
        </w:rPr>
        <w:t xml:space="preserve">використовували програмний пакет SCAPS останньої актуальної версії. </w:t>
      </w:r>
      <w:r w:rsidRPr="00B712BA">
        <w:rPr>
          <w:rFonts w:cs="Times New Roman"/>
          <w:szCs w:val="28"/>
        </w:rPr>
        <w:t>SCAPS в автоматичному режимі враховує температурні залежності загального вигляду тільки для досить обмеженого кола параметрів матеріалу, тому враховувалися додатково перелічені на слайді температурні та концентраційні залежності</w:t>
      </w:r>
      <w:r w:rsidR="00BE2B35">
        <w:rPr>
          <w:rFonts w:cs="Times New Roman"/>
          <w:szCs w:val="28"/>
        </w:rPr>
        <w:t xml:space="preserve"> для кремнію</w:t>
      </w:r>
      <w:r w:rsidRPr="00B712BA">
        <w:rPr>
          <w:rFonts w:cs="Times New Roman"/>
          <w:szCs w:val="28"/>
        </w:rPr>
        <w:t>.</w:t>
      </w:r>
    </w:p>
    <w:p w14:paraId="6319F81D" w14:textId="77777777" w:rsidR="00DA1482" w:rsidRDefault="00DA1482" w:rsidP="00BE2B35">
      <w:pPr>
        <w:spacing w:after="0"/>
        <w:ind w:right="-285"/>
        <w:jc w:val="both"/>
        <w:rPr>
          <w:rFonts w:cs="Times New Roman"/>
        </w:rPr>
      </w:pPr>
    </w:p>
    <w:p w14:paraId="05866568" w14:textId="7EBC81F2" w:rsidR="00DA1482" w:rsidRDefault="00DA1482" w:rsidP="00F234B0">
      <w:pPr>
        <w:spacing w:after="0"/>
        <w:ind w:left="-1276" w:right="-285"/>
        <w:jc w:val="both"/>
        <w:rPr>
          <w:rFonts w:cs="Times New Roman"/>
        </w:rPr>
      </w:pPr>
      <w:r>
        <w:rPr>
          <w:rFonts w:cs="Times New Roman"/>
        </w:rPr>
        <w:t xml:space="preserve">Слайд </w:t>
      </w:r>
      <w:r w:rsidR="008701C6">
        <w:rPr>
          <w:rFonts w:cs="Times New Roman"/>
        </w:rPr>
        <w:t>5</w:t>
      </w:r>
      <w:r>
        <w:rPr>
          <w:rFonts w:cs="Times New Roman"/>
        </w:rPr>
        <w:t xml:space="preserve"> ----------------------------------------------------------------------------------------------------------</w:t>
      </w:r>
    </w:p>
    <w:p w14:paraId="633EDF70" w14:textId="4D90AB89" w:rsidR="0042173B" w:rsidRDefault="0042173B" w:rsidP="00F234B0">
      <w:pPr>
        <w:spacing w:after="0"/>
        <w:ind w:left="-1276" w:right="-285"/>
        <w:jc w:val="both"/>
      </w:pPr>
      <w:r>
        <w:rPr>
          <w:rFonts w:cs="Times New Roman"/>
        </w:rPr>
        <w:t>Д</w:t>
      </w:r>
      <w:r w:rsidRPr="00B712BA">
        <w:rPr>
          <w:rFonts w:cs="Times New Roman"/>
        </w:rPr>
        <w:t xml:space="preserve">о отриманих </w:t>
      </w:r>
      <w:r w:rsidR="00075D5A">
        <w:rPr>
          <w:rFonts w:cs="Times New Roman"/>
        </w:rPr>
        <w:t>кривих релаксації</w:t>
      </w:r>
      <w:r w:rsidRPr="00B712BA">
        <w:rPr>
          <w:rFonts w:cs="Times New Roman"/>
        </w:rPr>
        <w:t xml:space="preserve"> застосовувалося </w:t>
      </w:r>
      <w:r>
        <w:rPr>
          <w:rFonts w:cs="Times New Roman"/>
        </w:rPr>
        <w:t xml:space="preserve">неперервне </w:t>
      </w:r>
      <w:r w:rsidRPr="00B712BA">
        <w:rPr>
          <w:rFonts w:cs="Times New Roman"/>
        </w:rPr>
        <w:t xml:space="preserve">вейвлет-перетворення </w:t>
      </w:r>
      <w:r>
        <w:rPr>
          <w:rFonts w:cs="Times New Roman"/>
        </w:rPr>
        <w:t xml:space="preserve">з використанням вейвлета </w:t>
      </w:r>
      <w:proofErr w:type="spellStart"/>
      <w:r w:rsidRPr="00B712BA">
        <w:rPr>
          <w:rFonts w:cs="Times New Roman"/>
        </w:rPr>
        <w:t>Морле</w:t>
      </w:r>
      <w:proofErr w:type="spellEnd"/>
      <w:r w:rsidRPr="00B712BA">
        <w:rPr>
          <w:rFonts w:cs="Times New Roman"/>
        </w:rPr>
        <w:t xml:space="preserve">, що дозволило отримати спектрограми у вигляді двовимірних зображень, </w:t>
      </w:r>
      <w:r w:rsidRPr="00525D77">
        <w:rPr>
          <w:rFonts w:cs="Times New Roman"/>
        </w:rPr>
        <w:t>де по одній осі відкладається час, по іншій - частота (</w:t>
      </w:r>
      <w:r>
        <w:rPr>
          <w:rFonts w:cs="Times New Roman"/>
        </w:rPr>
        <w:t xml:space="preserve">або ж </w:t>
      </w:r>
      <w:r w:rsidRPr="00525D77">
        <w:rPr>
          <w:rFonts w:cs="Times New Roman"/>
        </w:rPr>
        <w:t xml:space="preserve">масштаб), а </w:t>
      </w:r>
      <w:r>
        <w:rPr>
          <w:rFonts w:cs="Times New Roman"/>
        </w:rPr>
        <w:t>колір пікселя</w:t>
      </w:r>
      <w:r w:rsidRPr="00525D77">
        <w:rPr>
          <w:rFonts w:cs="Times New Roman"/>
        </w:rPr>
        <w:t xml:space="preserve"> відображає амплітуд</w:t>
      </w:r>
      <w:r>
        <w:rPr>
          <w:rFonts w:cs="Times New Roman"/>
        </w:rPr>
        <w:t>у</w:t>
      </w:r>
      <w:r w:rsidRPr="00525D77">
        <w:rPr>
          <w:rFonts w:cs="Times New Roman"/>
        </w:rPr>
        <w:t xml:space="preserve"> вейвлет-коефіцієнта.</w:t>
      </w:r>
      <w:r>
        <w:rPr>
          <w:rFonts w:cs="Times New Roman"/>
        </w:rPr>
        <w:t xml:space="preserve"> </w:t>
      </w:r>
      <w:r w:rsidRPr="00B712BA">
        <w:rPr>
          <w:rFonts w:cs="Times New Roman"/>
        </w:rPr>
        <w:t xml:space="preserve">Саме ці спектрограми використовувалися як вхідні дані для моделі комп’ютерного зору EfficientNetB7, </w:t>
      </w:r>
      <w:r>
        <w:rPr>
          <w:rFonts w:cs="Times New Roman"/>
        </w:rPr>
        <w:t>що дозволило</w:t>
      </w:r>
      <w:r w:rsidRPr="00B712BA">
        <w:rPr>
          <w:rFonts w:cs="Times New Roman"/>
        </w:rPr>
        <w:t xml:space="preserve"> перетворити фізичну задачу на задачу аналізу зображень.</w:t>
      </w:r>
    </w:p>
    <w:p w14:paraId="19AE1F56" w14:textId="77777777" w:rsidR="0042173B" w:rsidRDefault="0042173B" w:rsidP="00F234B0">
      <w:pPr>
        <w:spacing w:after="0"/>
        <w:ind w:left="-1276" w:right="-285"/>
        <w:jc w:val="both"/>
      </w:pPr>
    </w:p>
    <w:p w14:paraId="5CFEA7E5" w14:textId="1916EE18" w:rsidR="001112E7" w:rsidRPr="00B712BA" w:rsidRDefault="001112E7" w:rsidP="001112E7">
      <w:pPr>
        <w:ind w:left="-1276" w:right="-376"/>
        <w:jc w:val="both"/>
        <w:rPr>
          <w:rFonts w:cs="Times New Roman"/>
          <w:szCs w:val="28"/>
        </w:rPr>
      </w:pPr>
      <w:r w:rsidRPr="00B712BA">
        <w:rPr>
          <w:rFonts w:cs="Times New Roman"/>
          <w:szCs w:val="28"/>
        </w:rPr>
        <w:t xml:space="preserve">Слайд </w:t>
      </w:r>
      <w:r w:rsidR="00BE2B35">
        <w:rPr>
          <w:rFonts w:cs="Times New Roman"/>
          <w:szCs w:val="28"/>
        </w:rPr>
        <w:t>6</w:t>
      </w:r>
      <w:r w:rsidRPr="00B712BA">
        <w:rPr>
          <w:rFonts w:cs="Times New Roman"/>
          <w:szCs w:val="28"/>
        </w:rPr>
        <w:t xml:space="preserve"> -----------------------------------------------------------------------------------------------------------</w:t>
      </w:r>
    </w:p>
    <w:p w14:paraId="1E7C014D" w14:textId="349C7F70" w:rsidR="000D4511" w:rsidRPr="00BC4AFC" w:rsidRDefault="000D4511" w:rsidP="000D4511">
      <w:pPr>
        <w:ind w:left="-1276" w:right="-376"/>
        <w:jc w:val="both"/>
        <w:rPr>
          <w:rFonts w:cs="Times New Roman"/>
        </w:rPr>
      </w:pPr>
      <w:r w:rsidRPr="00BC4AFC">
        <w:rPr>
          <w:rFonts w:cs="Times New Roman"/>
        </w:rPr>
        <w:t xml:space="preserve">На </w:t>
      </w:r>
      <w:r>
        <w:rPr>
          <w:rFonts w:cs="Times New Roman"/>
        </w:rPr>
        <w:t xml:space="preserve">наступному </w:t>
      </w:r>
      <w:r w:rsidRPr="00B712BA">
        <w:rPr>
          <w:rFonts w:cs="Times New Roman"/>
        </w:rPr>
        <w:t>слайді наведено</w:t>
      </w:r>
      <w:r w:rsidRPr="00BC4AFC">
        <w:rPr>
          <w:rFonts w:cs="Times New Roman"/>
        </w:rPr>
        <w:t xml:space="preserve">, як саме працює підхід </w:t>
      </w:r>
      <w:proofErr w:type="spellStart"/>
      <w:r w:rsidRPr="00BC4AFC">
        <w:rPr>
          <w:rFonts w:cs="Times New Roman"/>
        </w:rPr>
        <w:t>Transfer</w:t>
      </w:r>
      <w:proofErr w:type="spellEnd"/>
      <w:r w:rsidRPr="00BC4AFC">
        <w:rPr>
          <w:rFonts w:cs="Times New Roman"/>
        </w:rPr>
        <w:t xml:space="preserve"> </w:t>
      </w:r>
      <w:proofErr w:type="spellStart"/>
      <w:r w:rsidRPr="00BC4AFC">
        <w:rPr>
          <w:rFonts w:cs="Times New Roman"/>
        </w:rPr>
        <w:t>Learning</w:t>
      </w:r>
      <w:proofErr w:type="spellEnd"/>
      <w:r w:rsidRPr="00BC4AFC">
        <w:rPr>
          <w:rFonts w:cs="Times New Roman"/>
        </w:rPr>
        <w:t>.</w:t>
      </w:r>
      <w:r w:rsidRPr="00B712BA">
        <w:rPr>
          <w:rFonts w:cs="Times New Roman"/>
        </w:rPr>
        <w:t xml:space="preserve"> </w:t>
      </w:r>
      <w:r>
        <w:rPr>
          <w:rFonts w:cs="Times New Roman"/>
        </w:rPr>
        <w:t>М</w:t>
      </w:r>
      <w:r w:rsidRPr="00BC4AFC">
        <w:rPr>
          <w:rFonts w:cs="Times New Roman"/>
        </w:rPr>
        <w:t xml:space="preserve">одель комп’ютерного зору, спочатку навчається на великому </w:t>
      </w:r>
      <w:proofErr w:type="spellStart"/>
      <w:r w:rsidRPr="00BC4AFC">
        <w:rPr>
          <w:rFonts w:cs="Times New Roman"/>
        </w:rPr>
        <w:t>датасеті</w:t>
      </w:r>
      <w:proofErr w:type="spellEnd"/>
      <w:r w:rsidRPr="00BC4AFC">
        <w:rPr>
          <w:rFonts w:cs="Times New Roman"/>
        </w:rPr>
        <w:t xml:space="preserve"> </w:t>
      </w:r>
      <w:proofErr w:type="spellStart"/>
      <w:r w:rsidRPr="00BC4AFC">
        <w:rPr>
          <w:rFonts w:cs="Times New Roman"/>
        </w:rPr>
        <w:t>ImageNet</w:t>
      </w:r>
      <w:proofErr w:type="spellEnd"/>
      <w:r>
        <w:rPr>
          <w:rFonts w:cs="Times New Roman"/>
        </w:rPr>
        <w:t xml:space="preserve">. </w:t>
      </w:r>
      <w:r w:rsidRPr="00BC4AFC">
        <w:rPr>
          <w:rFonts w:cs="Times New Roman"/>
        </w:rPr>
        <w:t xml:space="preserve">На цьому етапі </w:t>
      </w:r>
      <w:r w:rsidR="00D74159">
        <w:rPr>
          <w:rFonts w:cs="Times New Roman"/>
        </w:rPr>
        <w:t>вона</w:t>
      </w:r>
      <w:r w:rsidRPr="00BC4AFC">
        <w:rPr>
          <w:rFonts w:cs="Times New Roman"/>
        </w:rPr>
        <w:t xml:space="preserve"> вчиться розпізнавати базові ознаки зображень – такі як контури, форми</w:t>
      </w:r>
      <w:r>
        <w:rPr>
          <w:rFonts w:cs="Times New Roman"/>
        </w:rPr>
        <w:t>, текстури</w:t>
      </w:r>
      <w:r w:rsidRPr="00BC4AFC">
        <w:rPr>
          <w:rFonts w:cs="Times New Roman"/>
        </w:rPr>
        <w:t xml:space="preserve"> – і класифікувати їх за тисячами класів, наприклад, коти, собаки тощо.</w:t>
      </w:r>
      <w:r>
        <w:rPr>
          <w:rFonts w:cs="Times New Roman"/>
        </w:rPr>
        <w:t xml:space="preserve"> Під час моделювання ми використовували 25 різних концентрацій заліза, що дало змогу створити 25 вейвлет-спектрограм для кожної концентрації бору. Додатково ми </w:t>
      </w:r>
      <w:proofErr w:type="spellStart"/>
      <w:r>
        <w:rPr>
          <w:rFonts w:cs="Times New Roman"/>
        </w:rPr>
        <w:t>відзеркалювали</w:t>
      </w:r>
      <w:proofErr w:type="spellEnd"/>
      <w:r>
        <w:rPr>
          <w:rFonts w:cs="Times New Roman"/>
        </w:rPr>
        <w:t xml:space="preserve"> зображення по вертикалі та горизонталі а також повертали на кути 90, 180 та 270 градусів, щоб розширити оригінальний </w:t>
      </w:r>
      <w:proofErr w:type="spellStart"/>
      <w:r>
        <w:rPr>
          <w:rFonts w:cs="Times New Roman"/>
        </w:rPr>
        <w:t>датасет</w:t>
      </w:r>
      <w:proofErr w:type="spellEnd"/>
      <w:r>
        <w:rPr>
          <w:rFonts w:cs="Times New Roman"/>
        </w:rPr>
        <w:t xml:space="preserve"> з 25 до 150 картинок. Далі, з</w:t>
      </w:r>
      <w:r w:rsidRPr="00BC4AFC">
        <w:rPr>
          <w:rFonts w:cs="Times New Roman"/>
        </w:rPr>
        <w:t xml:space="preserve">авдяки </w:t>
      </w:r>
      <w:proofErr w:type="spellStart"/>
      <w:r w:rsidRPr="00BC4AFC">
        <w:rPr>
          <w:rFonts w:cs="Times New Roman"/>
        </w:rPr>
        <w:t>Transfer</w:t>
      </w:r>
      <w:proofErr w:type="spellEnd"/>
      <w:r w:rsidRPr="00BC4AFC">
        <w:rPr>
          <w:rFonts w:cs="Times New Roman"/>
        </w:rPr>
        <w:t xml:space="preserve"> </w:t>
      </w:r>
      <w:proofErr w:type="spellStart"/>
      <w:r w:rsidRPr="00BC4AFC">
        <w:rPr>
          <w:rFonts w:cs="Times New Roman"/>
        </w:rPr>
        <w:t>Learning</w:t>
      </w:r>
      <w:proofErr w:type="spellEnd"/>
      <w:r w:rsidRPr="00BC4AFC">
        <w:rPr>
          <w:rFonts w:cs="Times New Roman"/>
        </w:rPr>
        <w:t xml:space="preserve"> ми використовуємо вже навчені згорткові шари цієї мережі для обробки наших </w:t>
      </w:r>
      <w:r>
        <w:rPr>
          <w:rFonts w:cs="Times New Roman"/>
        </w:rPr>
        <w:t>вейвлет-</w:t>
      </w:r>
      <w:r w:rsidRPr="00BC4AFC">
        <w:rPr>
          <w:rFonts w:cs="Times New Roman"/>
        </w:rPr>
        <w:t>спектрограм</w:t>
      </w:r>
      <w:r>
        <w:rPr>
          <w:rFonts w:cs="Times New Roman"/>
        </w:rPr>
        <w:t>.</w:t>
      </w:r>
    </w:p>
    <w:p w14:paraId="5FE4880B" w14:textId="646F1DF8" w:rsidR="000D4511" w:rsidRDefault="000D4511" w:rsidP="000D4511">
      <w:pPr>
        <w:ind w:left="-1276" w:right="-376"/>
        <w:jc w:val="both"/>
        <w:rPr>
          <w:rFonts w:cs="Times New Roman"/>
        </w:rPr>
      </w:pPr>
      <w:r>
        <w:rPr>
          <w:rFonts w:cs="Times New Roman"/>
        </w:rPr>
        <w:lastRenderedPageBreak/>
        <w:t>Слайд 7 -----------------------------------------------------------------------------------------------------------</w:t>
      </w:r>
    </w:p>
    <w:p w14:paraId="06C741E5" w14:textId="2A82B1D6" w:rsidR="00BC4AFC" w:rsidRPr="00E24A5E" w:rsidRDefault="000D4511" w:rsidP="00E24A5E">
      <w:pPr>
        <w:ind w:left="-1276" w:right="-376"/>
        <w:jc w:val="both"/>
        <w:rPr>
          <w:rFonts w:cs="Times New Roman"/>
          <w:lang w:val="ru-RU"/>
        </w:rPr>
      </w:pPr>
      <w:r w:rsidRPr="00BC4AFC">
        <w:rPr>
          <w:rFonts w:cs="Times New Roman"/>
        </w:rPr>
        <w:t xml:space="preserve">Вихідні ознаки, які формує EfficientNetB7 для кожної спектрограми, ми подаємо на вхід регресійної нейронної мережі. </w:t>
      </w:r>
      <w:r w:rsidR="00E24A5E">
        <w:rPr>
          <w:rFonts w:cs="Times New Roman"/>
        </w:rPr>
        <w:t xml:space="preserve">Структура такої мережі наведена на слайді, її мета – визначення концентрації заліза по вхідному тензору з 1000 вихідних ознак мережі </w:t>
      </w:r>
      <w:r w:rsidR="00E24A5E" w:rsidRPr="00BC4AFC">
        <w:rPr>
          <w:rFonts w:cs="Times New Roman"/>
        </w:rPr>
        <w:t>EfficientNetB7</w:t>
      </w:r>
      <w:r w:rsidRPr="00BC4AFC">
        <w:rPr>
          <w:rFonts w:cs="Times New Roman"/>
        </w:rPr>
        <w:t>.</w:t>
      </w:r>
      <w:r w:rsidR="00C65A93">
        <w:rPr>
          <w:rFonts w:cs="Times New Roman"/>
        </w:rPr>
        <w:t xml:space="preserve"> </w:t>
      </w:r>
      <w:r w:rsidR="00075D5A">
        <w:rPr>
          <w:rFonts w:cs="Times New Roman"/>
        </w:rPr>
        <w:t>Більш детальна с</w:t>
      </w:r>
      <w:r w:rsidR="00C65A93">
        <w:rPr>
          <w:rFonts w:cs="Times New Roman"/>
        </w:rPr>
        <w:t xml:space="preserve">труктура та </w:t>
      </w:r>
      <w:proofErr w:type="spellStart"/>
      <w:r w:rsidR="00075D5A">
        <w:rPr>
          <w:rFonts w:cs="Times New Roman"/>
        </w:rPr>
        <w:t>гіпер</w:t>
      </w:r>
      <w:r w:rsidR="00C65A93">
        <w:rPr>
          <w:rFonts w:cs="Times New Roman"/>
        </w:rPr>
        <w:t>параметри</w:t>
      </w:r>
      <w:proofErr w:type="spellEnd"/>
      <w:r w:rsidR="00C65A93">
        <w:rPr>
          <w:rFonts w:cs="Times New Roman"/>
        </w:rPr>
        <w:t xml:space="preserve"> такої мережі наведені на слайді.</w:t>
      </w:r>
    </w:p>
    <w:p w14:paraId="6994B82C" w14:textId="04BD1B93" w:rsidR="007A1D55" w:rsidRPr="00075D5A" w:rsidRDefault="00BC4AFC" w:rsidP="00075D5A">
      <w:pPr>
        <w:ind w:left="-1276" w:right="-376"/>
        <w:jc w:val="both"/>
        <w:rPr>
          <w:rFonts w:cs="Times New Roman"/>
        </w:rPr>
      </w:pPr>
      <w:r w:rsidRPr="00B712BA">
        <w:rPr>
          <w:rFonts w:cs="Times New Roman"/>
        </w:rPr>
        <w:t xml:space="preserve">Слайд </w:t>
      </w:r>
      <w:r w:rsidR="00075D5A">
        <w:rPr>
          <w:rFonts w:cs="Times New Roman"/>
        </w:rPr>
        <w:t>8</w:t>
      </w:r>
      <w:r w:rsidRPr="00B712BA">
        <w:rPr>
          <w:rFonts w:cs="Times New Roman"/>
        </w:rPr>
        <w:t xml:space="preserve"> -----------------------------------------------------------------------------------------------------------</w:t>
      </w:r>
      <w:r w:rsidR="007A1D55" w:rsidRPr="007A1D55">
        <w:rPr>
          <w:rFonts w:cs="Times New Roman"/>
        </w:rPr>
        <w:t>На графіках ви бачите співвідношення між істинними та передбаченими значеннями концентраці</w:t>
      </w:r>
      <w:r w:rsidR="00075D5A">
        <w:rPr>
          <w:rFonts w:cs="Times New Roman"/>
        </w:rPr>
        <w:t>й</w:t>
      </w:r>
      <w:r w:rsidR="007A1D55" w:rsidRPr="007A1D55">
        <w:rPr>
          <w:rFonts w:cs="Times New Roman"/>
        </w:rPr>
        <w:t xml:space="preserve"> заліза для </w:t>
      </w:r>
      <w:r w:rsidR="00075D5A">
        <w:rPr>
          <w:rFonts w:cs="Times New Roman"/>
        </w:rPr>
        <w:t>9ти</w:t>
      </w:r>
      <w:r w:rsidR="007A1D55" w:rsidRPr="007A1D55">
        <w:rPr>
          <w:rFonts w:cs="Times New Roman"/>
        </w:rPr>
        <w:t xml:space="preserve"> концентрації бору. </w:t>
      </w:r>
      <w:r w:rsidR="009B68BC">
        <w:rPr>
          <w:rFonts w:cs="Times New Roman"/>
        </w:rPr>
        <w:t>Д</w:t>
      </w:r>
      <w:r w:rsidR="00075D5A">
        <w:rPr>
          <w:rFonts w:cs="Times New Roman"/>
        </w:rPr>
        <w:t xml:space="preserve">ля тестування </w:t>
      </w:r>
      <w:r w:rsidR="009B68BC">
        <w:rPr>
          <w:rFonts w:cs="Times New Roman"/>
        </w:rPr>
        <w:t xml:space="preserve">регресійних </w:t>
      </w:r>
      <w:r w:rsidR="00075D5A">
        <w:rPr>
          <w:rFonts w:cs="Times New Roman"/>
        </w:rPr>
        <w:t>м</w:t>
      </w:r>
      <w:r w:rsidR="009B68BC">
        <w:rPr>
          <w:rFonts w:cs="Times New Roman"/>
        </w:rPr>
        <w:t>ереж</w:t>
      </w:r>
      <w:r w:rsidR="00075D5A">
        <w:rPr>
          <w:rFonts w:cs="Times New Roman"/>
        </w:rPr>
        <w:t xml:space="preserve"> ми використовували 10 вейвлет-спектрограм змодельованих в </w:t>
      </w:r>
      <w:r w:rsidR="00075D5A">
        <w:rPr>
          <w:rFonts w:cs="Times New Roman"/>
          <w:lang w:val="en-US"/>
        </w:rPr>
        <w:t>SCAPS</w:t>
      </w:r>
      <w:r w:rsidR="00075D5A" w:rsidRPr="00075D5A">
        <w:rPr>
          <w:rFonts w:cs="Times New Roman"/>
          <w:lang w:val="ru-RU"/>
        </w:rPr>
        <w:t>`</w:t>
      </w:r>
      <w:r w:rsidR="00075D5A">
        <w:rPr>
          <w:rFonts w:cs="Times New Roman"/>
          <w:lang w:val="en-US"/>
        </w:rPr>
        <w:t>i</w:t>
      </w:r>
      <w:r w:rsidR="00075D5A">
        <w:rPr>
          <w:rFonts w:cs="Times New Roman"/>
        </w:rPr>
        <w:t xml:space="preserve"> з такими концентраціями</w:t>
      </w:r>
      <w:r w:rsidR="00075D5A" w:rsidRPr="00075D5A">
        <w:rPr>
          <w:rFonts w:cs="Times New Roman"/>
          <w:lang w:val="ru-RU"/>
        </w:rPr>
        <w:t xml:space="preserve"> </w:t>
      </w:r>
      <w:r w:rsidR="00075D5A">
        <w:rPr>
          <w:rFonts w:cs="Times New Roman"/>
        </w:rPr>
        <w:t>заліза, які не входили в тренуваль</w:t>
      </w:r>
      <w:r w:rsidR="009B68BC">
        <w:rPr>
          <w:rFonts w:cs="Times New Roman"/>
        </w:rPr>
        <w:t>ний набір даних.</w:t>
      </w:r>
      <w:r w:rsidR="00075D5A">
        <w:rPr>
          <w:rFonts w:cs="Times New Roman"/>
        </w:rPr>
        <w:t xml:space="preserve"> </w:t>
      </w:r>
    </w:p>
    <w:p w14:paraId="096A65A0" w14:textId="0DA243E0" w:rsidR="007A1D55" w:rsidRPr="00B712BA" w:rsidRDefault="007A1D55" w:rsidP="007A1D55">
      <w:pPr>
        <w:ind w:left="-1276" w:right="-376"/>
        <w:jc w:val="both"/>
        <w:rPr>
          <w:rFonts w:cs="Times New Roman"/>
        </w:rPr>
      </w:pPr>
      <w:r w:rsidRPr="007A1D55">
        <w:rPr>
          <w:rFonts w:cs="Times New Roman"/>
        </w:rPr>
        <w:t>Середня похибка прогнозу становить близько 16%, а коефіцієнт детермінації R² досягає 0</w:t>
      </w:r>
      <w:r w:rsidR="00510E99">
        <w:rPr>
          <w:rFonts w:cs="Times New Roman"/>
        </w:rPr>
        <w:t>.</w:t>
      </w:r>
      <w:r w:rsidRPr="007A1D55">
        <w:rPr>
          <w:rFonts w:cs="Times New Roman"/>
        </w:rPr>
        <w:t>98, що свідчить про високу точність навіть при дуже малому навчальному наборі</w:t>
      </w:r>
      <w:r w:rsidR="009B68BC">
        <w:rPr>
          <w:rFonts w:cs="Times New Roman"/>
        </w:rPr>
        <w:t xml:space="preserve"> даних</w:t>
      </w:r>
      <w:r w:rsidR="00510E99">
        <w:rPr>
          <w:rFonts w:cs="Times New Roman"/>
        </w:rPr>
        <w:t>.</w:t>
      </w:r>
    </w:p>
    <w:p w14:paraId="7CBE26DD" w14:textId="2B97E9CC" w:rsidR="007A1D55" w:rsidRPr="00B712BA" w:rsidRDefault="007A1D55" w:rsidP="007A1D55">
      <w:pPr>
        <w:ind w:left="-1276" w:right="-376"/>
        <w:jc w:val="both"/>
        <w:rPr>
          <w:rFonts w:cs="Times New Roman"/>
        </w:rPr>
      </w:pPr>
      <w:r w:rsidRPr="00B712BA">
        <w:rPr>
          <w:rFonts w:cs="Times New Roman"/>
        </w:rPr>
        <w:t xml:space="preserve">Слайд </w:t>
      </w:r>
      <w:r w:rsidR="009D4795">
        <w:rPr>
          <w:rFonts w:cs="Times New Roman"/>
        </w:rPr>
        <w:t>9</w:t>
      </w:r>
      <w:r w:rsidRPr="00B712BA">
        <w:rPr>
          <w:rFonts w:cs="Times New Roman"/>
        </w:rPr>
        <w:t xml:space="preserve"> ----------------------------------------------------------------------------------------------------------</w:t>
      </w:r>
    </w:p>
    <w:p w14:paraId="69796257" w14:textId="46C6076E" w:rsidR="00B712BA" w:rsidRPr="00B712BA" w:rsidRDefault="00B712BA" w:rsidP="00B712BA">
      <w:pPr>
        <w:ind w:left="-1276" w:right="-376"/>
        <w:jc w:val="both"/>
        <w:rPr>
          <w:rFonts w:cs="Times New Roman"/>
        </w:rPr>
      </w:pPr>
      <w:r w:rsidRPr="00B712BA">
        <w:rPr>
          <w:rFonts w:cs="Times New Roman"/>
        </w:rPr>
        <w:t xml:space="preserve">На </w:t>
      </w:r>
      <w:r w:rsidR="00510E99">
        <w:rPr>
          <w:rFonts w:cs="Times New Roman"/>
        </w:rPr>
        <w:t>наступному</w:t>
      </w:r>
      <w:r w:rsidRPr="00B712BA">
        <w:rPr>
          <w:rFonts w:cs="Times New Roman"/>
        </w:rPr>
        <w:t xml:space="preserve"> слайді представлен</w:t>
      </w:r>
      <w:r w:rsidR="009B68BC">
        <w:rPr>
          <w:rFonts w:cs="Times New Roman"/>
        </w:rPr>
        <w:t>о</w:t>
      </w:r>
      <w:r w:rsidRPr="00B712BA">
        <w:rPr>
          <w:rFonts w:cs="Times New Roman"/>
        </w:rPr>
        <w:t xml:space="preserve"> порівняння основних метрик якості прогнозу для різних концентрацій бору.</w:t>
      </w:r>
      <w:r>
        <w:rPr>
          <w:rFonts w:cs="Times New Roman"/>
        </w:rPr>
        <w:t xml:space="preserve"> </w:t>
      </w:r>
    </w:p>
    <w:p w14:paraId="70BEA202" w14:textId="52402024" w:rsidR="00B712BA" w:rsidRPr="00B712BA" w:rsidRDefault="00B712BA" w:rsidP="00B712BA">
      <w:pPr>
        <w:ind w:left="-1276" w:right="-376"/>
        <w:jc w:val="both"/>
        <w:rPr>
          <w:rFonts w:cs="Times New Roman"/>
        </w:rPr>
      </w:pPr>
      <w:r w:rsidRPr="00B712BA">
        <w:rPr>
          <w:rFonts w:cs="Times New Roman"/>
        </w:rPr>
        <w:t xml:space="preserve">Як видно з таблиці, для більшості концентрацій бору </w:t>
      </w:r>
      <w:r w:rsidR="009B68BC">
        <w:rPr>
          <w:rFonts w:cs="Times New Roman"/>
        </w:rPr>
        <w:t>маємо</w:t>
      </w:r>
      <w:r w:rsidRPr="00B712BA">
        <w:rPr>
          <w:rFonts w:cs="Times New Roman"/>
        </w:rPr>
        <w:t xml:space="preserve"> високу точність</w:t>
      </w:r>
      <w:r w:rsidR="009B68BC">
        <w:rPr>
          <w:rFonts w:cs="Times New Roman"/>
        </w:rPr>
        <w:t xml:space="preserve"> прогнозів</w:t>
      </w:r>
      <w:r w:rsidRPr="00B712BA">
        <w:rPr>
          <w:rFonts w:cs="Times New Roman"/>
        </w:rPr>
        <w:t>: середня абсолютна відносна похибка (MAPE) у межах 14–27%, а коефіцієнт детермінації R² - до 0</w:t>
      </w:r>
      <w:r w:rsidR="00510E99">
        <w:rPr>
          <w:rFonts w:cs="Times New Roman"/>
        </w:rPr>
        <w:t>.</w:t>
      </w:r>
      <w:r w:rsidRPr="00B712BA">
        <w:rPr>
          <w:rFonts w:cs="Times New Roman"/>
        </w:rPr>
        <w:t>98.</w:t>
      </w:r>
      <w:r>
        <w:rPr>
          <w:rFonts w:cs="Times New Roman"/>
        </w:rPr>
        <w:t xml:space="preserve"> </w:t>
      </w:r>
      <w:r w:rsidRPr="00B712BA">
        <w:rPr>
          <w:rFonts w:cs="Times New Roman"/>
        </w:rPr>
        <w:t xml:space="preserve">Лише для </w:t>
      </w:r>
      <w:r w:rsidR="009B68BC">
        <w:rPr>
          <w:rFonts w:cs="Times New Roman"/>
        </w:rPr>
        <w:t xml:space="preserve">концентрації бору </w:t>
      </w:r>
      <w:r w:rsidRPr="00B712BA">
        <w:rPr>
          <w:rFonts w:cs="Times New Roman"/>
        </w:rPr>
        <w:t>10¹⁶ см⁻³ спостерігається суттєве зростання похиб</w:t>
      </w:r>
      <w:r w:rsidR="009F0EBC">
        <w:rPr>
          <w:rFonts w:cs="Times New Roman"/>
        </w:rPr>
        <w:t>ок</w:t>
      </w:r>
      <w:r w:rsidRPr="00B712BA">
        <w:rPr>
          <w:rFonts w:cs="Times New Roman"/>
        </w:rPr>
        <w:t xml:space="preserve"> та </w:t>
      </w:r>
      <w:r w:rsidR="009F0EBC">
        <w:rPr>
          <w:rFonts w:cs="Times New Roman"/>
        </w:rPr>
        <w:t>суттєве зменшення</w:t>
      </w:r>
      <w:r w:rsidRPr="00B712BA">
        <w:rPr>
          <w:rFonts w:cs="Times New Roman"/>
        </w:rPr>
        <w:t xml:space="preserve"> R²</w:t>
      </w:r>
      <w:r w:rsidR="009F0EBC">
        <w:rPr>
          <w:rFonts w:cs="Times New Roman"/>
        </w:rPr>
        <w:t>.</w:t>
      </w:r>
    </w:p>
    <w:p w14:paraId="47118D5D" w14:textId="59903D9B" w:rsidR="007A1D55" w:rsidRDefault="00B712BA" w:rsidP="007A1D55">
      <w:pPr>
        <w:ind w:left="-1276" w:right="-376"/>
        <w:jc w:val="both"/>
        <w:rPr>
          <w:rFonts w:cs="Times New Roman"/>
        </w:rPr>
      </w:pPr>
      <w:r>
        <w:rPr>
          <w:rFonts w:cs="Times New Roman"/>
        </w:rPr>
        <w:t xml:space="preserve">Слайд </w:t>
      </w:r>
      <w:r w:rsidR="009D4795">
        <w:rPr>
          <w:rFonts w:cs="Times New Roman"/>
        </w:rPr>
        <w:t>10</w:t>
      </w:r>
      <w:r>
        <w:rPr>
          <w:rFonts w:cs="Times New Roman"/>
        </w:rPr>
        <w:t xml:space="preserve"> ---------------------------------------------------------------------------------------------------------</w:t>
      </w:r>
    </w:p>
    <w:p w14:paraId="5FBE713C" w14:textId="77AF363D" w:rsidR="00B712BA" w:rsidRDefault="00B712BA" w:rsidP="007A1D55">
      <w:pPr>
        <w:ind w:left="-1276" w:right="-376"/>
        <w:jc w:val="both"/>
        <w:rPr>
          <w:rFonts w:cs="Times New Roman"/>
        </w:rPr>
      </w:pPr>
      <w:r>
        <w:rPr>
          <w:rFonts w:cs="Times New Roman"/>
        </w:rPr>
        <w:t>Висновки</w:t>
      </w:r>
    </w:p>
    <w:p w14:paraId="0223883B" w14:textId="740AFBDA" w:rsidR="009B68BC" w:rsidRDefault="00AF53C3" w:rsidP="007A1D55">
      <w:pPr>
        <w:ind w:left="-1276" w:right="-376"/>
        <w:jc w:val="both"/>
        <w:rPr>
          <w:rFonts w:cs="Times New Roman"/>
        </w:rPr>
      </w:pPr>
      <w:r w:rsidRPr="00AF53C3">
        <w:rPr>
          <w:rFonts w:cs="Times New Roman"/>
        </w:rPr>
        <w:t xml:space="preserve">Отримані результати підтверджують </w:t>
      </w:r>
      <w:r w:rsidR="009B68BC">
        <w:rPr>
          <w:rFonts w:cs="Times New Roman"/>
        </w:rPr>
        <w:t>в першу чергу можливість</w:t>
      </w:r>
      <w:r w:rsidRPr="00AF53C3">
        <w:rPr>
          <w:rFonts w:cs="Times New Roman"/>
        </w:rPr>
        <w:t xml:space="preserve"> </w:t>
      </w:r>
      <w:r w:rsidR="009B68BC">
        <w:rPr>
          <w:rFonts w:cs="Times New Roman"/>
        </w:rPr>
        <w:t xml:space="preserve">такого підходу. </w:t>
      </w:r>
    </w:p>
    <w:p w14:paraId="2A4DB0FC" w14:textId="769013A5" w:rsidR="00584795" w:rsidRPr="00584795" w:rsidRDefault="009B68BC" w:rsidP="00584795">
      <w:pPr>
        <w:ind w:left="-1276" w:right="-376"/>
        <w:jc w:val="both"/>
        <w:rPr>
          <w:rFonts w:eastAsiaTheme="minorEastAsia" w:cs="Times New Roman"/>
          <w:iCs/>
        </w:rPr>
      </w:pPr>
      <w:r>
        <w:rPr>
          <w:rFonts w:cs="Times New Roman"/>
        </w:rPr>
        <w:t>Для концентрацій бору в інтервалі від 10</w:t>
      </w:r>
      <w:r>
        <w:rPr>
          <w:rFonts w:cs="Times New Roman"/>
          <w:vertAlign w:val="superscript"/>
        </w:rPr>
        <w:t>15</w:t>
      </w:r>
      <w:r>
        <w:rPr>
          <w:rFonts w:cs="Times New Roman"/>
        </w:rPr>
        <w:t xml:space="preserve"> до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5.6×10</m:t>
            </m:r>
          </m:e>
          <m:sup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5</m:t>
            </m:r>
          </m:sup>
        </m:sSup>
      </m:oMath>
      <w:r>
        <w:rPr>
          <w:rFonts w:eastAsiaTheme="minorEastAsia" w:cs="Times New Roman"/>
          <w:iCs/>
        </w:rPr>
        <w:t xml:space="preserve"> отримано </w:t>
      </w:r>
      <w:r w:rsidR="00584795">
        <w:rPr>
          <w:rFonts w:eastAsiaTheme="minorEastAsia" w:cs="Times New Roman"/>
          <w:iCs/>
        </w:rPr>
        <w:t>високі значення коефіцієнта детермінації (</w:t>
      </w:r>
      <w:r w:rsidR="00584795" w:rsidRPr="00584795">
        <w:rPr>
          <w:rFonts w:eastAsiaTheme="minorEastAsia" w:cs="Times New Roman"/>
          <w:iCs/>
        </w:rPr>
        <w:t xml:space="preserve">&gt;0.9) </w:t>
      </w:r>
      <w:r w:rsidR="00584795">
        <w:rPr>
          <w:rFonts w:eastAsiaTheme="minorEastAsia" w:cs="Times New Roman"/>
          <w:iCs/>
        </w:rPr>
        <w:t>та низькі значення середньої абсолютної відносної похибки</w:t>
      </w:r>
      <w:r w:rsidR="00584795" w:rsidRPr="00584795">
        <w:rPr>
          <w:rFonts w:eastAsiaTheme="minorEastAsia" w:cs="Times New Roman"/>
          <w:iCs/>
        </w:rPr>
        <w:t xml:space="preserve"> (</w:t>
      </w:r>
      <w:r w:rsidR="00584795">
        <w:rPr>
          <w:rFonts w:eastAsiaTheme="minorEastAsia" w:cs="Times New Roman"/>
          <w:iCs/>
        </w:rPr>
        <w:t>мінімум 14%, максимум 27%). Перспективність даного підходу також можна аргументувати наявністю певної кореляції з минулими нашими дослідженнями. Так для концентрації бору в околі 10</w:t>
      </w:r>
      <w:r w:rsidR="00584795">
        <w:rPr>
          <w:rFonts w:eastAsiaTheme="minorEastAsia" w:cs="Times New Roman"/>
          <w:iCs/>
          <w:vertAlign w:val="superscript"/>
        </w:rPr>
        <w:t>16</w:t>
      </w:r>
      <w:r w:rsidR="00584795">
        <w:rPr>
          <w:rFonts w:eastAsiaTheme="minorEastAsia" w:cs="Times New Roman"/>
          <w:iCs/>
        </w:rPr>
        <w:t xml:space="preserve"> ми отримали найгірші метрики, що на нашу думку пов’язано зі слабкою залежністю струму короткого замикання від концентрації заліза.</w:t>
      </w:r>
    </w:p>
    <w:p w14:paraId="31CB5C33" w14:textId="77777777" w:rsidR="00BC4AFC" w:rsidRPr="00BC4AFC" w:rsidRDefault="00BC4AFC" w:rsidP="00BC4AFC">
      <w:pPr>
        <w:ind w:left="-1276" w:right="-376"/>
        <w:jc w:val="both"/>
        <w:rPr>
          <w:rFonts w:cs="Times New Roman"/>
        </w:rPr>
      </w:pPr>
    </w:p>
    <w:p w14:paraId="0C1B5AB0" w14:textId="77777777" w:rsidR="009A5D8C" w:rsidRPr="00B712BA" w:rsidRDefault="009A5D8C" w:rsidP="009A5D8C">
      <w:pPr>
        <w:ind w:left="-1276" w:right="-376"/>
        <w:jc w:val="both"/>
        <w:rPr>
          <w:rFonts w:cs="Times New Roman"/>
        </w:rPr>
      </w:pPr>
    </w:p>
    <w:p w14:paraId="259FA451" w14:textId="77777777" w:rsidR="00561249" w:rsidRPr="00B712BA" w:rsidRDefault="00561249" w:rsidP="00561249">
      <w:pPr>
        <w:ind w:left="-1276" w:right="-376"/>
        <w:jc w:val="both"/>
        <w:rPr>
          <w:rFonts w:cs="Times New Roman"/>
        </w:rPr>
      </w:pPr>
    </w:p>
    <w:p w14:paraId="53399125" w14:textId="77777777" w:rsidR="001112E7" w:rsidRPr="00B712BA" w:rsidRDefault="001112E7" w:rsidP="001112E7">
      <w:pPr>
        <w:ind w:left="-1276" w:right="-376"/>
        <w:jc w:val="both"/>
        <w:rPr>
          <w:rFonts w:cs="Times New Roman"/>
          <w:szCs w:val="28"/>
        </w:rPr>
      </w:pPr>
    </w:p>
    <w:p w14:paraId="469C4EFB" w14:textId="77777777" w:rsidR="001355CF" w:rsidRPr="00B712BA" w:rsidRDefault="001355CF" w:rsidP="00F234B0">
      <w:pPr>
        <w:spacing w:after="0"/>
        <w:ind w:left="-1276" w:right="-285"/>
        <w:jc w:val="both"/>
      </w:pPr>
    </w:p>
    <w:sectPr w:rsidR="001355CF" w:rsidRPr="00B712BA" w:rsidSect="00F234B0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A2156"/>
    <w:multiLevelType w:val="multilevel"/>
    <w:tmpl w:val="4E6A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633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90E"/>
    <w:rsid w:val="000145BF"/>
    <w:rsid w:val="00075D5A"/>
    <w:rsid w:val="000D4511"/>
    <w:rsid w:val="001112E7"/>
    <w:rsid w:val="001355CF"/>
    <w:rsid w:val="00225F3B"/>
    <w:rsid w:val="00271628"/>
    <w:rsid w:val="00274579"/>
    <w:rsid w:val="0036520E"/>
    <w:rsid w:val="003D79BC"/>
    <w:rsid w:val="00420B39"/>
    <w:rsid w:val="0042173B"/>
    <w:rsid w:val="00481F12"/>
    <w:rsid w:val="00510E99"/>
    <w:rsid w:val="0052490E"/>
    <w:rsid w:val="00525D77"/>
    <w:rsid w:val="00547EBC"/>
    <w:rsid w:val="00561249"/>
    <w:rsid w:val="00584795"/>
    <w:rsid w:val="005C37D9"/>
    <w:rsid w:val="00620511"/>
    <w:rsid w:val="006C0B77"/>
    <w:rsid w:val="006F3FE4"/>
    <w:rsid w:val="0070591E"/>
    <w:rsid w:val="007A1D55"/>
    <w:rsid w:val="008242FF"/>
    <w:rsid w:val="008701C6"/>
    <w:rsid w:val="00870751"/>
    <w:rsid w:val="00922C48"/>
    <w:rsid w:val="0098658B"/>
    <w:rsid w:val="009A5D8C"/>
    <w:rsid w:val="009B68BC"/>
    <w:rsid w:val="009D4795"/>
    <w:rsid w:val="009F0EBC"/>
    <w:rsid w:val="00A72FE8"/>
    <w:rsid w:val="00A75893"/>
    <w:rsid w:val="00AC618B"/>
    <w:rsid w:val="00AF23E8"/>
    <w:rsid w:val="00AF53C3"/>
    <w:rsid w:val="00B227FD"/>
    <w:rsid w:val="00B712BA"/>
    <w:rsid w:val="00B915B7"/>
    <w:rsid w:val="00BC4AFC"/>
    <w:rsid w:val="00BE2B35"/>
    <w:rsid w:val="00BE703B"/>
    <w:rsid w:val="00C064AE"/>
    <w:rsid w:val="00C65A93"/>
    <w:rsid w:val="00C67DE5"/>
    <w:rsid w:val="00C90E99"/>
    <w:rsid w:val="00D74159"/>
    <w:rsid w:val="00D958F0"/>
    <w:rsid w:val="00DA1482"/>
    <w:rsid w:val="00DF70C0"/>
    <w:rsid w:val="00E24A5E"/>
    <w:rsid w:val="00EA59DF"/>
    <w:rsid w:val="00EE4070"/>
    <w:rsid w:val="00F12C76"/>
    <w:rsid w:val="00F234B0"/>
    <w:rsid w:val="00F250FB"/>
    <w:rsid w:val="00FA2DBA"/>
    <w:rsid w:val="00FD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B36AD"/>
  <w15:chartTrackingRefBased/>
  <w15:docId w15:val="{0F044A42-79F3-4903-90EF-D3D38066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24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9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9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49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49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49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49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49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90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5249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52490E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52490E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2490E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52490E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52490E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52490E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52490E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5249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490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5249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490E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524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490E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5249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49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4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490E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5249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83</cp:revision>
  <dcterms:created xsi:type="dcterms:W3CDTF">2025-05-07T23:52:00Z</dcterms:created>
  <dcterms:modified xsi:type="dcterms:W3CDTF">2025-05-14T07:43:00Z</dcterms:modified>
</cp:coreProperties>
</file>