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3720C" w14:textId="117B01D8" w:rsidR="00DF70C0" w:rsidRPr="00B712BA" w:rsidRDefault="00DF70C0" w:rsidP="00F234B0">
      <w:pPr>
        <w:spacing w:after="0"/>
        <w:ind w:left="-1276" w:right="-285"/>
        <w:jc w:val="both"/>
      </w:pPr>
      <w:r w:rsidRPr="00B712BA">
        <w:t>Слайд 1 ---------------------------------------------------------------------------------------------------------</w:t>
      </w:r>
    </w:p>
    <w:p w14:paraId="73FC84DC" w14:textId="53917C24" w:rsidR="00DF70C0" w:rsidRPr="00B712BA" w:rsidRDefault="00DF70C0" w:rsidP="00F234B0">
      <w:pPr>
        <w:spacing w:after="0"/>
        <w:ind w:left="-1276" w:right="-285"/>
        <w:jc w:val="both"/>
      </w:pPr>
      <w:r w:rsidRPr="00B712BA">
        <w:t>Доброго дня, шановні колеги. Мене звати Завгородній</w:t>
      </w:r>
      <w:r w:rsidRPr="00B712BA">
        <w:t xml:space="preserve"> </w:t>
      </w:r>
      <w:r w:rsidRPr="00B712BA">
        <w:t>Олексій</w:t>
      </w:r>
      <w:r w:rsidRPr="00B712BA">
        <w:t xml:space="preserve">. </w:t>
      </w:r>
      <w:r w:rsidRPr="00B712BA">
        <w:t xml:space="preserve">Тема моєї доповіді — застосування моделей комп’ютерного зору до оцінки концентрації заліза </w:t>
      </w:r>
      <w:r w:rsidRPr="00B712BA">
        <w:t>у</w:t>
      </w:r>
      <w:r w:rsidRPr="00B712BA">
        <w:t xml:space="preserve"> кремнієвих сонячних елементах.</w:t>
      </w:r>
    </w:p>
    <w:p w14:paraId="32406EB9" w14:textId="77777777" w:rsidR="00DF70C0" w:rsidRPr="00B712BA" w:rsidRDefault="00DF70C0" w:rsidP="00F234B0">
      <w:pPr>
        <w:spacing w:after="0"/>
        <w:ind w:left="-1276" w:right="-285"/>
        <w:jc w:val="both"/>
      </w:pPr>
    </w:p>
    <w:p w14:paraId="2EB69A89" w14:textId="07C3C259" w:rsidR="00F12C76" w:rsidRPr="00B712BA" w:rsidRDefault="00547EBC" w:rsidP="00F234B0">
      <w:pPr>
        <w:spacing w:after="0"/>
        <w:ind w:left="-1276" w:right="-285"/>
        <w:jc w:val="both"/>
      </w:pPr>
      <w:r w:rsidRPr="00B712BA">
        <w:t>Слайд 2 ---------------------------------------------------------------------------------------------------------</w:t>
      </w:r>
    </w:p>
    <w:p w14:paraId="026F2AE7" w14:textId="59053FC1" w:rsidR="001355CF" w:rsidRPr="00B712BA" w:rsidRDefault="001355CF" w:rsidP="001355CF">
      <w:pPr>
        <w:spacing w:after="0"/>
        <w:ind w:left="-1276" w:right="-285"/>
        <w:jc w:val="both"/>
      </w:pPr>
      <w:r w:rsidRPr="00B712BA">
        <w:rPr>
          <w:rFonts w:cs="Times New Roman"/>
        </w:rPr>
        <w:t xml:space="preserve">Сонячні елементи є важливим джерелом чистої, відновлюваної енергії, тому покращення їх ефективності та довговічності є важливим напрямком для нас сьогодні. </w:t>
      </w:r>
      <w:r w:rsidRPr="00B712BA">
        <w:t xml:space="preserve">Метою цієї роботи є визначення концентрації домішкового заліза у кремнієвих сонячних елементах на основі аналізу релаксації струму короткого замикання, із застосуванням сучасних моделей комп’ютерного зору та Transfer Learning. </w:t>
      </w:r>
      <w:r w:rsidRPr="00B712BA">
        <w:rPr>
          <w:rFonts w:cs="Times New Roman"/>
        </w:rPr>
        <w:t>В роботі представлено інтеграцію вейвлет-аналізу та моделі EfficientNetB7 для визначення концентрації домішкового заліза. Наш підхід забезпечує високу точність прогнозування навіть при малих тренувальних вибірках, що є критично важливим для реальних фізичних експериментів.</w:t>
      </w:r>
    </w:p>
    <w:p w14:paraId="092C68F9" w14:textId="77777777" w:rsidR="00DF70C0" w:rsidRPr="00B712BA" w:rsidRDefault="00DF70C0" w:rsidP="00F234B0">
      <w:pPr>
        <w:spacing w:after="0"/>
        <w:ind w:left="-1276" w:right="-285"/>
        <w:jc w:val="both"/>
      </w:pPr>
    </w:p>
    <w:p w14:paraId="11581ED9" w14:textId="05A795D9" w:rsidR="00DF70C0" w:rsidRPr="00B712BA" w:rsidRDefault="00DF70C0" w:rsidP="00F234B0">
      <w:pPr>
        <w:spacing w:after="0"/>
        <w:ind w:left="-1276" w:right="-285"/>
        <w:jc w:val="both"/>
      </w:pPr>
      <w:r w:rsidRPr="00B712BA">
        <w:t>Слайд 3 ----------------------------------------------------------------------------------------------------------</w:t>
      </w:r>
    </w:p>
    <w:p w14:paraId="690E6934" w14:textId="154B30B2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  <w:r w:rsidRPr="00B712BA">
        <w:rPr>
          <w:rFonts w:cs="Times New Roman"/>
        </w:rPr>
        <w:t xml:space="preserve">Для моделювання </w:t>
      </w:r>
      <w:r w:rsidRPr="00B712BA">
        <w:rPr>
          <w:rFonts w:cs="Times New Roman"/>
        </w:rPr>
        <w:t xml:space="preserve">тренувального набору даних </w:t>
      </w:r>
      <w:r w:rsidRPr="00B712BA">
        <w:rPr>
          <w:rFonts w:cs="Times New Roman"/>
        </w:rPr>
        <w:t xml:space="preserve">використовували програмний пакет SCAPS останньої актуальної версії. </w:t>
      </w:r>
      <w:r w:rsidRPr="00B712BA">
        <w:rPr>
          <w:rFonts w:cs="Times New Roman"/>
          <w:szCs w:val="28"/>
        </w:rPr>
        <w:t>SCAPS в автоматичному режимі враховує температурні залежності загального вигляду тільки для досить обмеженого кола параметрів матеріалу, тому враховувалися додатково перелічені на слайді температурні та концентраційні залежності.</w:t>
      </w:r>
    </w:p>
    <w:p w14:paraId="5CFEA7E5" w14:textId="1E04ED58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  <w:r w:rsidRPr="00B712BA">
        <w:rPr>
          <w:rFonts w:cs="Times New Roman"/>
          <w:szCs w:val="28"/>
        </w:rPr>
        <w:t>Слайд 4 -----------------------------------------------------------------------------------------------------------</w:t>
      </w:r>
    </w:p>
    <w:p w14:paraId="1DED9590" w14:textId="62E1B443" w:rsidR="009A5D8C" w:rsidRPr="00B712BA" w:rsidRDefault="00561249" w:rsidP="009A5D8C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Для підготовки </w:t>
      </w:r>
      <w:r w:rsidR="00525D77">
        <w:rPr>
          <w:rFonts w:cs="Times New Roman"/>
        </w:rPr>
        <w:t>тренувальної бази даних</w:t>
      </w:r>
      <w:r w:rsidRPr="00B712BA">
        <w:rPr>
          <w:rFonts w:cs="Times New Roman"/>
        </w:rPr>
        <w:t xml:space="preserve"> ми змоделювали часові залежності струму короткого замикання для кремнієвих сонячних елементів з різними концентраціями заліза та бору.</w:t>
      </w:r>
      <w:r w:rsidR="00525D77">
        <w:rPr>
          <w:rFonts w:cs="Times New Roman"/>
        </w:rPr>
        <w:t xml:space="preserve"> Д</w:t>
      </w:r>
      <w:r w:rsidRPr="00B712BA">
        <w:rPr>
          <w:rFonts w:cs="Times New Roman"/>
        </w:rPr>
        <w:t xml:space="preserve">о отриманих </w:t>
      </w:r>
      <w:r w:rsidRPr="00B712BA">
        <w:rPr>
          <w:rFonts w:cs="Times New Roman"/>
        </w:rPr>
        <w:t>залежностей</w:t>
      </w:r>
      <w:r w:rsidRPr="00B712BA">
        <w:rPr>
          <w:rFonts w:cs="Times New Roman"/>
        </w:rPr>
        <w:t xml:space="preserve"> застосовувалося </w:t>
      </w:r>
      <w:r w:rsidR="00525D77">
        <w:rPr>
          <w:rFonts w:cs="Times New Roman"/>
        </w:rPr>
        <w:t xml:space="preserve">неперервне </w:t>
      </w:r>
      <w:r w:rsidRPr="00B712BA">
        <w:rPr>
          <w:rFonts w:cs="Times New Roman"/>
        </w:rPr>
        <w:t xml:space="preserve">вейвлет-перетворення </w:t>
      </w:r>
      <w:r w:rsidR="00525D77">
        <w:rPr>
          <w:rFonts w:cs="Times New Roman"/>
        </w:rPr>
        <w:t xml:space="preserve">з використанням вейвлета </w:t>
      </w:r>
      <w:r w:rsidRPr="00B712BA">
        <w:rPr>
          <w:rFonts w:cs="Times New Roman"/>
        </w:rPr>
        <w:t>Морле, що дозвол</w:t>
      </w:r>
      <w:r w:rsidR="00BC4AFC" w:rsidRPr="00B712BA">
        <w:rPr>
          <w:rFonts w:cs="Times New Roman"/>
        </w:rPr>
        <w:t>ило</w:t>
      </w:r>
      <w:r w:rsidRPr="00B712BA">
        <w:rPr>
          <w:rFonts w:cs="Times New Roman"/>
        </w:rPr>
        <w:t xml:space="preserve"> отримати спектрограми у вигляді двовимірних зображень, </w:t>
      </w:r>
      <w:r w:rsidR="00525D77" w:rsidRPr="00525D77">
        <w:rPr>
          <w:rFonts w:cs="Times New Roman"/>
        </w:rPr>
        <w:t>де по одній осі відкладається час, по іншій - частота (</w:t>
      </w:r>
      <w:r w:rsidR="00525D77">
        <w:rPr>
          <w:rFonts w:cs="Times New Roman"/>
        </w:rPr>
        <w:t xml:space="preserve">або ж </w:t>
      </w:r>
      <w:r w:rsidR="00525D77" w:rsidRPr="00525D77">
        <w:rPr>
          <w:rFonts w:cs="Times New Roman"/>
        </w:rPr>
        <w:t xml:space="preserve">масштаб), а </w:t>
      </w:r>
      <w:r w:rsidR="00525D77">
        <w:rPr>
          <w:rFonts w:cs="Times New Roman"/>
        </w:rPr>
        <w:t>колір пікселя</w:t>
      </w:r>
      <w:r w:rsidR="00525D77" w:rsidRPr="00525D77">
        <w:rPr>
          <w:rFonts w:cs="Times New Roman"/>
        </w:rPr>
        <w:t xml:space="preserve"> відображає амплітуд</w:t>
      </w:r>
      <w:r w:rsidR="00525D77">
        <w:rPr>
          <w:rFonts w:cs="Times New Roman"/>
        </w:rPr>
        <w:t>у</w:t>
      </w:r>
      <w:r w:rsidR="00525D77" w:rsidRPr="00525D77">
        <w:rPr>
          <w:rFonts w:cs="Times New Roman"/>
        </w:rPr>
        <w:t xml:space="preserve"> вейвлет-коефіцієнта.</w:t>
      </w:r>
      <w:r w:rsidR="00525D77">
        <w:rPr>
          <w:rFonts w:cs="Times New Roman"/>
        </w:rPr>
        <w:t xml:space="preserve"> </w:t>
      </w:r>
      <w:r w:rsidRPr="00B712BA">
        <w:rPr>
          <w:rFonts w:cs="Times New Roman"/>
        </w:rPr>
        <w:t xml:space="preserve">Саме ці спектрограми використовувалися як вхідні дані для моделі комп’ютерного зору EfficientNetB7, </w:t>
      </w:r>
      <w:r w:rsidR="00525D77">
        <w:rPr>
          <w:rFonts w:cs="Times New Roman"/>
        </w:rPr>
        <w:t>що дозволило</w:t>
      </w:r>
      <w:r w:rsidRPr="00B712BA">
        <w:rPr>
          <w:rFonts w:cs="Times New Roman"/>
        </w:rPr>
        <w:t xml:space="preserve"> перетворити фізичну задачу на задачу аналізу зображень.</w:t>
      </w:r>
      <w:r w:rsidRPr="00B712BA">
        <w:rPr>
          <w:rFonts w:cs="Times New Roman"/>
        </w:rPr>
        <w:t xml:space="preserve"> </w:t>
      </w:r>
    </w:p>
    <w:p w14:paraId="5769422B" w14:textId="32F04726" w:rsidR="009A5D8C" w:rsidRPr="00B712BA" w:rsidRDefault="009A5D8C" w:rsidP="009A5D8C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>Слайд 5 -----------------------------------------------------------------------------------------------------------</w:t>
      </w:r>
    </w:p>
    <w:p w14:paraId="3156919E" w14:textId="154E4CB1" w:rsidR="00BC4AFC" w:rsidRPr="00BC4AFC" w:rsidRDefault="00BC4AFC" w:rsidP="00BC4AFC">
      <w:pPr>
        <w:ind w:left="-1276" w:right="-376"/>
        <w:jc w:val="both"/>
        <w:rPr>
          <w:rFonts w:cs="Times New Roman"/>
        </w:rPr>
      </w:pPr>
      <w:r w:rsidRPr="00BC4AFC">
        <w:rPr>
          <w:rFonts w:cs="Times New Roman"/>
        </w:rPr>
        <w:t xml:space="preserve">На </w:t>
      </w:r>
      <w:r w:rsidR="00C90E99">
        <w:rPr>
          <w:rFonts w:cs="Times New Roman"/>
        </w:rPr>
        <w:t xml:space="preserve">наступному </w:t>
      </w:r>
      <w:r w:rsidRPr="00B712BA">
        <w:rPr>
          <w:rFonts w:cs="Times New Roman"/>
        </w:rPr>
        <w:t>слайді наведено</w:t>
      </w:r>
      <w:r w:rsidRPr="00BC4AFC">
        <w:rPr>
          <w:rFonts w:cs="Times New Roman"/>
        </w:rPr>
        <w:t>, як саме працює підхід Transfer Learning у нашій роботі.</w:t>
      </w:r>
      <w:r w:rsidRPr="00B712BA">
        <w:rPr>
          <w:rFonts w:cs="Times New Roman"/>
        </w:rPr>
        <w:t xml:space="preserve"> </w:t>
      </w:r>
      <w:r w:rsidRPr="00BC4AFC">
        <w:rPr>
          <w:rFonts w:cs="Times New Roman"/>
        </w:rPr>
        <w:t>У верхній частині бачимо класичний сценарій: модель комп’ютерного зору, наприклад EfficientNetB7, спочатку навчається на великому датасеті ImageNet, що містить понад мільйон звичайних фотографій. На цьому етапі мережа вчиться розпізнавати базові ознаки зображень – такі як контури, текстури, форми – і класифікувати їх за тисячами класів, наприклад, коти, собаки тощо.</w:t>
      </w:r>
    </w:p>
    <w:p w14:paraId="611D2CD1" w14:textId="511EB344" w:rsidR="00BC4AFC" w:rsidRPr="00BC4AFC" w:rsidRDefault="00BC4AFC" w:rsidP="00BC4AFC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>У</w:t>
      </w:r>
      <w:r w:rsidRPr="00BC4AFC">
        <w:rPr>
          <w:rFonts w:cs="Times New Roman"/>
        </w:rPr>
        <w:t xml:space="preserve"> нижній частині, показано, як ц</w:t>
      </w:r>
      <w:r w:rsidRPr="00B712BA">
        <w:rPr>
          <w:rFonts w:cs="Times New Roman"/>
        </w:rPr>
        <w:t>я</w:t>
      </w:r>
      <w:r w:rsidRPr="00BC4AFC">
        <w:rPr>
          <w:rFonts w:cs="Times New Roman"/>
        </w:rPr>
        <w:t xml:space="preserve"> </w:t>
      </w:r>
      <w:r w:rsidRPr="00B712BA">
        <w:rPr>
          <w:rFonts w:cs="Times New Roman"/>
        </w:rPr>
        <w:t>методика</w:t>
      </w:r>
      <w:r w:rsidRPr="00BC4AFC">
        <w:rPr>
          <w:rFonts w:cs="Times New Roman"/>
        </w:rPr>
        <w:t xml:space="preserve"> переносяться на нашу задачу. Завдяки Transfer Learning ми використовуємо вже навчені згорткові шари цієї мережі для обробки наших спектрограм, отриманих із </w:t>
      </w:r>
      <w:r w:rsidRPr="00B712BA">
        <w:rPr>
          <w:rFonts w:cs="Times New Roman"/>
        </w:rPr>
        <w:t>часових залежностей струму короткого замикання.</w:t>
      </w:r>
    </w:p>
    <w:p w14:paraId="374D46A3" w14:textId="22162945" w:rsidR="00BC4AFC" w:rsidRPr="00BC4AFC" w:rsidRDefault="00BC4AFC" w:rsidP="00BC4AFC">
      <w:pPr>
        <w:ind w:left="-1276" w:right="-376"/>
        <w:jc w:val="both"/>
        <w:rPr>
          <w:rFonts w:cs="Times New Roman"/>
        </w:rPr>
      </w:pPr>
      <w:r w:rsidRPr="00BC4AFC">
        <w:rPr>
          <w:rFonts w:cs="Times New Roman"/>
        </w:rPr>
        <w:t xml:space="preserve">Вихідні ознаки, які формує EfficientNetB7 для кожної спектрограми, ми подаємо на вхід регресійної нейронної мережі. Вона вже навчається безпосередньо на нашому невеликому датасеті і прогнозує </w:t>
      </w:r>
      <w:r w:rsidR="00C90E99">
        <w:rPr>
          <w:rFonts w:cs="Times New Roman"/>
        </w:rPr>
        <w:t xml:space="preserve">шуканий </w:t>
      </w:r>
      <w:r w:rsidRPr="00BC4AFC">
        <w:rPr>
          <w:rFonts w:cs="Times New Roman"/>
        </w:rPr>
        <w:t>фізичний параметр - концентрацію домішкового заліза у кремнієвому сонячному елементі.</w:t>
      </w:r>
    </w:p>
    <w:p w14:paraId="06C741E5" w14:textId="19E2FCE8" w:rsidR="00BC4AFC" w:rsidRPr="00B712BA" w:rsidRDefault="00BC4AFC" w:rsidP="00C90E99">
      <w:pPr>
        <w:ind w:right="-376"/>
        <w:jc w:val="both"/>
        <w:rPr>
          <w:rFonts w:cs="Times New Roman"/>
        </w:rPr>
      </w:pPr>
    </w:p>
    <w:p w14:paraId="64A9131E" w14:textId="24369D9B" w:rsidR="00BC4AFC" w:rsidRPr="00B712BA" w:rsidRDefault="00BC4AFC" w:rsidP="00BC4AFC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lastRenderedPageBreak/>
        <w:t>Слайд 6 -----------------------------------------------------------------------------------------------------------</w:t>
      </w:r>
    </w:p>
    <w:p w14:paraId="70D93EEC" w14:textId="0E9E33BC" w:rsidR="007A1D55" w:rsidRPr="007A1D55" w:rsidRDefault="007A1D55" w:rsidP="007A1D55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Значення </w:t>
      </w:r>
      <w:r w:rsidR="00510E99">
        <w:rPr>
          <w:rFonts w:cs="Times New Roman"/>
        </w:rPr>
        <w:t xml:space="preserve">концентрацій </w:t>
      </w:r>
      <w:r w:rsidRPr="00B712BA">
        <w:rPr>
          <w:rFonts w:cs="Times New Roman"/>
        </w:rPr>
        <w:t>бору варіювалися від 10</w:t>
      </w:r>
      <w:r w:rsidRPr="00B712BA">
        <w:rPr>
          <w:rFonts w:cs="Times New Roman"/>
          <w:vertAlign w:val="superscript"/>
        </w:rPr>
        <w:t>15</w:t>
      </w:r>
      <w:r w:rsidRPr="007A1D55">
        <w:rPr>
          <w:rFonts w:cs="Times New Roman"/>
        </w:rPr>
        <w:t xml:space="preserve"> до </w:t>
      </w:r>
      <w:r w:rsidRPr="00B712BA">
        <w:rPr>
          <w:rFonts w:cs="Times New Roman"/>
        </w:rPr>
        <w:t>10</w:t>
      </w:r>
      <w:r w:rsidRPr="00B712BA">
        <w:rPr>
          <w:rFonts w:cs="Times New Roman"/>
          <w:vertAlign w:val="superscript"/>
        </w:rPr>
        <w:t>17</w:t>
      </w:r>
      <w:r w:rsidRPr="007A1D55">
        <w:rPr>
          <w:rFonts w:cs="Times New Roman"/>
        </w:rPr>
        <w:t xml:space="preserve"> см⁻³, </w:t>
      </w:r>
      <w:r w:rsidRPr="00B712BA">
        <w:rPr>
          <w:rFonts w:cs="Times New Roman"/>
        </w:rPr>
        <w:t>моделювання проводили в часовому діапазоні</w:t>
      </w:r>
      <w:r w:rsidRPr="007A1D55">
        <w:rPr>
          <w:rFonts w:cs="Times New Roman"/>
        </w:rPr>
        <w:t xml:space="preserve"> від 20 до 2920 секунд з кроком 100 секунд. Для кожного моменту часу </w:t>
      </w:r>
      <w:r w:rsidR="00510E99">
        <w:rPr>
          <w:rFonts w:cs="Times New Roman"/>
        </w:rPr>
        <w:t>створювалося</w:t>
      </w:r>
      <w:r w:rsidRPr="007A1D55">
        <w:rPr>
          <w:rFonts w:cs="Times New Roman"/>
        </w:rPr>
        <w:t xml:space="preserve"> 25 зразків із різними концентраціями заліза в діапазоні від 10¹⁰ до 10¹⁴ см⁻³ у логарифмічному масштабі</w:t>
      </w:r>
      <w:r w:rsidRPr="00B712BA">
        <w:rPr>
          <w:rFonts w:cs="Times New Roman"/>
        </w:rPr>
        <w:t>.</w:t>
      </w:r>
    </w:p>
    <w:p w14:paraId="594FE86E" w14:textId="36533DA1" w:rsidR="007A1D55" w:rsidRPr="007A1D55" w:rsidRDefault="007A1D55" w:rsidP="007A1D55">
      <w:pPr>
        <w:ind w:left="-1276" w:right="-376"/>
        <w:jc w:val="both"/>
        <w:rPr>
          <w:rFonts w:cs="Times New Roman"/>
        </w:rPr>
      </w:pPr>
      <w:r w:rsidRPr="007A1D55">
        <w:rPr>
          <w:rFonts w:cs="Times New Roman"/>
        </w:rPr>
        <w:t>Навчання регресійної моделі проводилося саме на цих даних, а тестування - на 10 нових значеннях концентрації заліза, які не входили в тренувальний набір, що дозвол</w:t>
      </w:r>
      <w:r w:rsidR="00510E99">
        <w:rPr>
          <w:rFonts w:cs="Times New Roman"/>
        </w:rPr>
        <w:t>ило</w:t>
      </w:r>
      <w:r w:rsidRPr="007A1D55">
        <w:rPr>
          <w:rFonts w:cs="Times New Roman"/>
        </w:rPr>
        <w:t xml:space="preserve"> оцінити здатність моделі до інтерполяції.</w:t>
      </w:r>
    </w:p>
    <w:p w14:paraId="6994B82C" w14:textId="32701FF5" w:rsidR="007A1D55" w:rsidRPr="007A1D55" w:rsidRDefault="007A1D55" w:rsidP="007A1D55">
      <w:pPr>
        <w:ind w:left="-1276" w:right="-376"/>
        <w:jc w:val="both"/>
        <w:rPr>
          <w:rFonts w:cs="Times New Roman"/>
        </w:rPr>
      </w:pPr>
      <w:r w:rsidRPr="007A1D55">
        <w:rPr>
          <w:rFonts w:cs="Times New Roman"/>
        </w:rPr>
        <w:t xml:space="preserve">На графіках ви бачите співвідношення між істинними та передбаченими значеннями концентрації заліза для кожної концентрації бору. </w:t>
      </w:r>
    </w:p>
    <w:p w14:paraId="096A65A0" w14:textId="044899C3" w:rsidR="007A1D55" w:rsidRPr="00B712BA" w:rsidRDefault="007A1D55" w:rsidP="007A1D55">
      <w:pPr>
        <w:ind w:left="-1276" w:right="-376"/>
        <w:jc w:val="both"/>
        <w:rPr>
          <w:rFonts w:cs="Times New Roman"/>
        </w:rPr>
      </w:pPr>
      <w:r w:rsidRPr="007A1D55">
        <w:rPr>
          <w:rFonts w:cs="Times New Roman"/>
        </w:rPr>
        <w:t>Середня похибка прогнозу становить близько 16%, а коефіцієнт детермінації R² досягає 0</w:t>
      </w:r>
      <w:r w:rsidR="00510E99">
        <w:rPr>
          <w:rFonts w:cs="Times New Roman"/>
        </w:rPr>
        <w:t>.</w:t>
      </w:r>
      <w:r w:rsidRPr="007A1D55">
        <w:rPr>
          <w:rFonts w:cs="Times New Roman"/>
        </w:rPr>
        <w:t>98, що свідчить про високу точність навіть при дуже малому навчальному наборі</w:t>
      </w:r>
      <w:r w:rsidR="00510E99">
        <w:rPr>
          <w:rFonts w:cs="Times New Roman"/>
        </w:rPr>
        <w:t>.</w:t>
      </w:r>
    </w:p>
    <w:p w14:paraId="7CBE26DD" w14:textId="7BD05D16" w:rsidR="007A1D55" w:rsidRPr="00B712BA" w:rsidRDefault="007A1D55" w:rsidP="007A1D55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>Слайд 7 ----------------------------------------------------------------------------------------------------------</w:t>
      </w:r>
    </w:p>
    <w:p w14:paraId="69796257" w14:textId="59E73F29" w:rsidR="00B712BA" w:rsidRPr="00B712BA" w:rsidRDefault="00B712BA" w:rsidP="00B712B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 xml:space="preserve">На </w:t>
      </w:r>
      <w:r w:rsidR="00510E99">
        <w:rPr>
          <w:rFonts w:cs="Times New Roman"/>
        </w:rPr>
        <w:t>наступному</w:t>
      </w:r>
      <w:r w:rsidRPr="00B712BA">
        <w:rPr>
          <w:rFonts w:cs="Times New Roman"/>
        </w:rPr>
        <w:t xml:space="preserve"> слайді представлено порівняння основних метрик якості прогнозу для різних концентрацій бору.</w:t>
      </w:r>
      <w:r>
        <w:rPr>
          <w:rFonts w:cs="Times New Roman"/>
        </w:rPr>
        <w:t xml:space="preserve"> Важливо </w:t>
      </w:r>
      <w:r w:rsidR="00510E99">
        <w:rPr>
          <w:rFonts w:cs="Times New Roman"/>
        </w:rPr>
        <w:t>додати</w:t>
      </w:r>
      <w:r>
        <w:rPr>
          <w:rFonts w:cs="Times New Roman"/>
        </w:rPr>
        <w:t>, що д</w:t>
      </w:r>
      <w:r w:rsidRPr="00B712BA">
        <w:rPr>
          <w:rFonts w:cs="Times New Roman"/>
        </w:rPr>
        <w:t>ля кожної концентрації бору ми моделювали 25 унікальних зразків із різною концентрацією заліза</w:t>
      </w:r>
      <w:r>
        <w:rPr>
          <w:rFonts w:cs="Times New Roman"/>
        </w:rPr>
        <w:t>, тобто отримували 25 вейвлет спектрограм</w:t>
      </w:r>
      <w:r w:rsidR="00510E99">
        <w:rPr>
          <w:rFonts w:cs="Times New Roman"/>
        </w:rPr>
        <w:t>.</w:t>
      </w:r>
      <w:r w:rsidRPr="00B712BA">
        <w:rPr>
          <w:rFonts w:cs="Times New Roman"/>
        </w:rPr>
        <w:t xml:space="preserve"> Щоб збільшити обсяг тренувальних даних і підвищити стійкість моделі, для кожного </w:t>
      </w:r>
      <w:r w:rsidR="00510E99">
        <w:rPr>
          <w:rFonts w:cs="Times New Roman"/>
        </w:rPr>
        <w:t>зображення</w:t>
      </w:r>
      <w:r w:rsidRPr="00B712BA">
        <w:rPr>
          <w:rFonts w:cs="Times New Roman"/>
        </w:rPr>
        <w:t xml:space="preserve"> застосовували аугментацію: </w:t>
      </w:r>
      <w:r w:rsidR="00510E99">
        <w:rPr>
          <w:rFonts w:cs="Times New Roman"/>
        </w:rPr>
        <w:t xml:space="preserve">тобто </w:t>
      </w:r>
      <w:r w:rsidRPr="00B712BA">
        <w:rPr>
          <w:rFonts w:cs="Times New Roman"/>
        </w:rPr>
        <w:t xml:space="preserve">віддзеркалення по горизонталі та вертикалі, а також повороти на 90, 180 і 270 градусів. Таким чином, для кожної </w:t>
      </w:r>
      <w:r>
        <w:rPr>
          <w:rFonts w:cs="Times New Roman"/>
        </w:rPr>
        <w:t>концентрації бору</w:t>
      </w:r>
      <w:r w:rsidRPr="00B712BA">
        <w:rPr>
          <w:rFonts w:cs="Times New Roman"/>
        </w:rPr>
        <w:t xml:space="preserve"> отрим</w:t>
      </w:r>
      <w:r>
        <w:rPr>
          <w:rFonts w:cs="Times New Roman"/>
        </w:rPr>
        <w:t>али</w:t>
      </w:r>
      <w:r w:rsidRPr="00B712BA">
        <w:rPr>
          <w:rFonts w:cs="Times New Roman"/>
        </w:rPr>
        <w:t xml:space="preserve"> 150 зображень, з яких 25 були оригінальними, а решта - трансформовані.</w:t>
      </w:r>
    </w:p>
    <w:p w14:paraId="70BEA202" w14:textId="15D943D3" w:rsidR="00B712BA" w:rsidRPr="00B712BA" w:rsidRDefault="00B712BA" w:rsidP="00B712BA">
      <w:pPr>
        <w:ind w:left="-1276" w:right="-376"/>
        <w:jc w:val="both"/>
        <w:rPr>
          <w:rFonts w:cs="Times New Roman"/>
        </w:rPr>
      </w:pPr>
      <w:r w:rsidRPr="00B712BA">
        <w:rPr>
          <w:rFonts w:cs="Times New Roman"/>
        </w:rPr>
        <w:t>Як видно з таблиці, для більшості концентрацій бору модель демонструє високу точність: середня абсолютна відносна похибка (MAPE) у межах 14–27%, а коефіцієнт детермінації R² - до 0</w:t>
      </w:r>
      <w:r w:rsidR="00510E99">
        <w:rPr>
          <w:rFonts w:cs="Times New Roman"/>
        </w:rPr>
        <w:t>.</w:t>
      </w:r>
      <w:r w:rsidRPr="00B712BA">
        <w:rPr>
          <w:rFonts w:cs="Times New Roman"/>
        </w:rPr>
        <w:t>98.</w:t>
      </w:r>
      <w:r>
        <w:rPr>
          <w:rFonts w:cs="Times New Roman"/>
        </w:rPr>
        <w:t xml:space="preserve"> </w:t>
      </w:r>
      <w:r w:rsidRPr="00B712BA">
        <w:rPr>
          <w:rFonts w:cs="Times New Roman"/>
        </w:rPr>
        <w:t>Лише для N</w:t>
      </w:r>
      <w:r w:rsidRPr="00B712BA">
        <w:rPr>
          <w:rFonts w:cs="Times New Roman"/>
          <w:vertAlign w:val="subscript"/>
        </w:rPr>
        <w:t>B</w:t>
      </w:r>
      <w:r w:rsidRPr="00B712BA">
        <w:rPr>
          <w:rFonts w:cs="Times New Roman"/>
        </w:rPr>
        <w:t xml:space="preserve"> = 10¹⁶ см⁻³ спостерігається суттєве зростання похибки та зниження R², що </w:t>
      </w:r>
      <w:r>
        <w:rPr>
          <w:rFonts w:cs="Times New Roman"/>
        </w:rPr>
        <w:t>збігається з нашим попереднім дослідженням.</w:t>
      </w:r>
    </w:p>
    <w:p w14:paraId="47118D5D" w14:textId="5ADABC56" w:rsidR="007A1D55" w:rsidRDefault="00B712BA" w:rsidP="007A1D55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>Слайд 8 -----------------------------------------------------------------------------------------------------------</w:t>
      </w:r>
    </w:p>
    <w:p w14:paraId="5FBE713C" w14:textId="77AF363D" w:rsidR="00B712BA" w:rsidRDefault="00B712BA" w:rsidP="007A1D55">
      <w:pPr>
        <w:ind w:left="-1276" w:right="-376"/>
        <w:jc w:val="both"/>
        <w:rPr>
          <w:rFonts w:cs="Times New Roman"/>
        </w:rPr>
      </w:pPr>
      <w:r>
        <w:rPr>
          <w:rFonts w:cs="Times New Roman"/>
        </w:rPr>
        <w:t>Висновки</w:t>
      </w:r>
    </w:p>
    <w:p w14:paraId="57C248FB" w14:textId="333E2F41" w:rsidR="00B712BA" w:rsidRPr="007A1D55" w:rsidRDefault="00AF53C3" w:rsidP="007A1D55">
      <w:pPr>
        <w:ind w:left="-1276" w:right="-376"/>
        <w:jc w:val="both"/>
        <w:rPr>
          <w:rFonts w:cs="Times New Roman"/>
        </w:rPr>
      </w:pPr>
      <w:r w:rsidRPr="00AF53C3">
        <w:rPr>
          <w:rFonts w:cs="Times New Roman"/>
        </w:rPr>
        <w:t xml:space="preserve">Отримані результати підтверджують перспективність використання Transfer Learning і сучасних моделей комп’ютерного зору для задач фізики напівпровідників, зокрема для визначення концентрації заліза у КСЕ. </w:t>
      </w:r>
      <w:r>
        <w:rPr>
          <w:rFonts w:cs="Times New Roman"/>
        </w:rPr>
        <w:t>Запропонований м</w:t>
      </w:r>
      <w:r w:rsidRPr="00AF53C3">
        <w:rPr>
          <w:rFonts w:cs="Times New Roman"/>
        </w:rPr>
        <w:t>етод дозволяє досягати високої точності прогнозу навіть при малих тренувальних вибірках</w:t>
      </w:r>
      <w:r w:rsidR="00510E99">
        <w:rPr>
          <w:rFonts w:cs="Times New Roman"/>
        </w:rPr>
        <w:t>.</w:t>
      </w:r>
    </w:p>
    <w:p w14:paraId="31CB5C33" w14:textId="77777777" w:rsidR="00BC4AFC" w:rsidRPr="00BC4AFC" w:rsidRDefault="00BC4AFC" w:rsidP="00BC4AFC">
      <w:pPr>
        <w:ind w:left="-1276" w:right="-376"/>
        <w:jc w:val="both"/>
        <w:rPr>
          <w:rFonts w:cs="Times New Roman"/>
        </w:rPr>
      </w:pPr>
    </w:p>
    <w:p w14:paraId="0C1B5AB0" w14:textId="77777777" w:rsidR="009A5D8C" w:rsidRPr="00B712BA" w:rsidRDefault="009A5D8C" w:rsidP="009A5D8C">
      <w:pPr>
        <w:ind w:left="-1276" w:right="-376"/>
        <w:jc w:val="both"/>
        <w:rPr>
          <w:rFonts w:cs="Times New Roman"/>
        </w:rPr>
      </w:pPr>
    </w:p>
    <w:p w14:paraId="259FA451" w14:textId="77777777" w:rsidR="00561249" w:rsidRPr="00B712BA" w:rsidRDefault="00561249" w:rsidP="00561249">
      <w:pPr>
        <w:ind w:left="-1276" w:right="-376"/>
        <w:jc w:val="both"/>
        <w:rPr>
          <w:rFonts w:cs="Times New Roman"/>
        </w:rPr>
      </w:pPr>
    </w:p>
    <w:p w14:paraId="53399125" w14:textId="77777777" w:rsidR="001112E7" w:rsidRPr="00B712BA" w:rsidRDefault="001112E7" w:rsidP="001112E7">
      <w:pPr>
        <w:ind w:left="-1276" w:right="-376"/>
        <w:jc w:val="both"/>
        <w:rPr>
          <w:rFonts w:cs="Times New Roman"/>
          <w:szCs w:val="28"/>
        </w:rPr>
      </w:pPr>
    </w:p>
    <w:p w14:paraId="469C4EFB" w14:textId="77777777" w:rsidR="001355CF" w:rsidRPr="00B712BA" w:rsidRDefault="001355CF" w:rsidP="00F234B0">
      <w:pPr>
        <w:spacing w:after="0"/>
        <w:ind w:left="-1276" w:right="-285"/>
        <w:jc w:val="both"/>
      </w:pPr>
    </w:p>
    <w:sectPr w:rsidR="001355CF" w:rsidRPr="00B712BA" w:rsidSect="00F234B0">
      <w:pgSz w:w="11906" w:h="16838" w:code="9"/>
      <w:pgMar w:top="426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A2156"/>
    <w:multiLevelType w:val="multilevel"/>
    <w:tmpl w:val="4E6A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633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0E"/>
    <w:rsid w:val="001112E7"/>
    <w:rsid w:val="001355CF"/>
    <w:rsid w:val="00225F3B"/>
    <w:rsid w:val="00274579"/>
    <w:rsid w:val="003D79BC"/>
    <w:rsid w:val="00510E99"/>
    <w:rsid w:val="0052490E"/>
    <w:rsid w:val="00525D77"/>
    <w:rsid w:val="00547EBC"/>
    <w:rsid w:val="00561249"/>
    <w:rsid w:val="006C0B77"/>
    <w:rsid w:val="007A1D55"/>
    <w:rsid w:val="008242FF"/>
    <w:rsid w:val="00870751"/>
    <w:rsid w:val="00922C48"/>
    <w:rsid w:val="009A5D8C"/>
    <w:rsid w:val="00A72FE8"/>
    <w:rsid w:val="00AF23E8"/>
    <w:rsid w:val="00AF53C3"/>
    <w:rsid w:val="00B227FD"/>
    <w:rsid w:val="00B712BA"/>
    <w:rsid w:val="00B915B7"/>
    <w:rsid w:val="00BC4AFC"/>
    <w:rsid w:val="00C064AE"/>
    <w:rsid w:val="00C90E99"/>
    <w:rsid w:val="00D958F0"/>
    <w:rsid w:val="00DF70C0"/>
    <w:rsid w:val="00EA59DF"/>
    <w:rsid w:val="00EE4070"/>
    <w:rsid w:val="00F12C76"/>
    <w:rsid w:val="00F234B0"/>
    <w:rsid w:val="00F250FB"/>
    <w:rsid w:val="00FA2DBA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B36AD"/>
  <w15:chartTrackingRefBased/>
  <w15:docId w15:val="{0F044A42-79F3-4903-90EF-D3D38066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2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9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9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9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9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9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9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9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90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249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52490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52490E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2490E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52490E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52490E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52490E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52490E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5249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90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5249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90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52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90E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5249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90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90E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524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30</cp:revision>
  <dcterms:created xsi:type="dcterms:W3CDTF">2025-05-07T23:52:00Z</dcterms:created>
  <dcterms:modified xsi:type="dcterms:W3CDTF">2025-05-09T05:43:00Z</dcterms:modified>
</cp:coreProperties>
</file>