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DBB35" w14:textId="3C2B3822" w:rsidR="00F12C76" w:rsidRPr="007A6B68" w:rsidRDefault="00E02376" w:rsidP="00E02376">
      <w:pPr>
        <w:spacing w:after="0" w:line="360" w:lineRule="auto"/>
        <w:jc w:val="center"/>
        <w:rPr>
          <w:rFonts w:cs="Times New Roman"/>
          <w:b/>
        </w:rPr>
      </w:pPr>
      <w:r w:rsidRPr="007A6B68">
        <w:rPr>
          <w:rFonts w:cs="Times New Roman"/>
          <w:b/>
        </w:rPr>
        <w:t>ОСНОВНІ РЕЗУЛЬТАТИ ТА ВИСНОВКИ</w:t>
      </w:r>
    </w:p>
    <w:p w14:paraId="0C74D8C0" w14:textId="642E7696" w:rsidR="00555752" w:rsidRPr="007A6B68" w:rsidRDefault="00AD4B89" w:rsidP="00E02376">
      <w:pPr>
        <w:spacing w:after="0" w:line="360" w:lineRule="auto"/>
        <w:jc w:val="both"/>
        <w:rPr>
          <w:rFonts w:cs="Times New Roman"/>
        </w:rPr>
      </w:pPr>
      <w:r w:rsidRPr="007A6B68">
        <w:rPr>
          <w:rFonts w:cs="Times New Roman"/>
        </w:rPr>
        <w:t xml:space="preserve">1. </w:t>
      </w:r>
      <w:r w:rsidR="00555752" w:rsidRPr="007A6B68">
        <w:rPr>
          <w:rFonts w:cs="Times New Roman"/>
        </w:rPr>
        <w:t xml:space="preserve">Встановлено фундаментальні </w:t>
      </w:r>
      <w:r w:rsidR="00F96D55" w:rsidRPr="007A6B68">
        <w:rPr>
          <w:rFonts w:cs="Times New Roman"/>
          <w:highlight w:val="yellow"/>
        </w:rPr>
        <w:t>особливості</w:t>
      </w:r>
      <w:r w:rsidR="00555752" w:rsidRPr="007A6B68">
        <w:rPr>
          <w:rFonts w:cs="Times New Roman"/>
        </w:rPr>
        <w:t xml:space="preserve"> поведінки </w:t>
      </w:r>
      <w:proofErr w:type="spellStart"/>
      <w:r w:rsidR="00555752" w:rsidRPr="007A6B68">
        <w:rPr>
          <w:rFonts w:cs="Times New Roman"/>
        </w:rPr>
        <w:t>фактора</w:t>
      </w:r>
      <w:proofErr w:type="spellEnd"/>
      <w:r w:rsidR="00555752" w:rsidRPr="007A6B68">
        <w:rPr>
          <w:rFonts w:cs="Times New Roman"/>
        </w:rPr>
        <w:t xml:space="preserve"> </w:t>
      </w:r>
      <w:proofErr w:type="spellStart"/>
      <w:r w:rsidR="00555752" w:rsidRPr="007A6B68">
        <w:rPr>
          <w:rFonts w:cs="Times New Roman"/>
        </w:rPr>
        <w:t>неідеальності</w:t>
      </w:r>
      <w:proofErr w:type="spellEnd"/>
      <w:r w:rsidR="00555752" w:rsidRPr="007A6B68">
        <w:rPr>
          <w:rFonts w:cs="Times New Roman"/>
        </w:rPr>
        <w:t xml:space="preserve"> в структурах n⁺-p-p⁺:</w:t>
      </w:r>
      <w:proofErr w:type="spellStart"/>
      <w:r w:rsidR="00555752" w:rsidRPr="007A6B68">
        <w:rPr>
          <w:rFonts w:cs="Times New Roman"/>
        </w:rPr>
        <w:t>Si</w:t>
      </w:r>
      <w:proofErr w:type="spellEnd"/>
      <w:r w:rsidR="00555752" w:rsidRPr="007A6B68">
        <w:rPr>
          <w:rFonts w:cs="Times New Roman"/>
        </w:rPr>
        <w:t xml:space="preserve"> із залізовмісними дефектами. Показано, що значення цього параметру визначається не лише концентрацією домішки заліза, а й її електричним станом та просторовим розподілом у </w:t>
      </w:r>
      <w:r w:rsidR="00682774" w:rsidRPr="007A6B68">
        <w:rPr>
          <w:rFonts w:cs="Times New Roman"/>
          <w:highlight w:val="yellow"/>
        </w:rPr>
        <w:t>кремнієвих сонячних елементах</w:t>
      </w:r>
      <w:r w:rsidR="00555752" w:rsidRPr="007A6B68">
        <w:rPr>
          <w:rFonts w:cs="Times New Roman"/>
        </w:rPr>
        <w:t xml:space="preserve">. Виявлено майже лінійне зростання </w:t>
      </w:r>
      <w:proofErr w:type="spellStart"/>
      <w:r w:rsidR="00555752" w:rsidRPr="007A6B68">
        <w:rPr>
          <w:rFonts w:cs="Times New Roman"/>
        </w:rPr>
        <w:t>фактора</w:t>
      </w:r>
      <w:proofErr w:type="spellEnd"/>
      <w:r w:rsidR="00555752" w:rsidRPr="007A6B68">
        <w:rPr>
          <w:rFonts w:cs="Times New Roman"/>
        </w:rPr>
        <w:t xml:space="preserve"> </w:t>
      </w:r>
      <w:proofErr w:type="spellStart"/>
      <w:r w:rsidR="00555752" w:rsidRPr="007A6B68">
        <w:rPr>
          <w:rFonts w:cs="Times New Roman"/>
        </w:rPr>
        <w:t>неідеальності</w:t>
      </w:r>
      <w:proofErr w:type="spellEnd"/>
      <w:r w:rsidR="00555752" w:rsidRPr="007A6B68">
        <w:rPr>
          <w:rFonts w:cs="Times New Roman"/>
        </w:rPr>
        <w:t xml:space="preserve"> зі збільшенням концентрації заліза та встановлено можливість використання зміни цього параметра після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555752" w:rsidRPr="007A6B68">
        <w:rPr>
          <w:rFonts w:cs="Times New Roman"/>
        </w:rPr>
        <w:t xml:space="preserve"> для кількісної оцінки концентрації забруднюючого заліза</w:t>
      </w:r>
      <w:r w:rsidR="00516EB2" w:rsidRPr="007A6B68">
        <w:rPr>
          <w:rFonts w:cs="Times New Roman"/>
        </w:rPr>
        <w:t xml:space="preserve"> в </w:t>
      </w:r>
      <w:r w:rsidR="00682774" w:rsidRPr="007A6B68">
        <w:rPr>
          <w:rFonts w:cs="Times New Roman"/>
          <w:highlight w:val="yellow"/>
        </w:rPr>
        <w:t>кремнієвих сонячних елементах</w:t>
      </w:r>
      <w:r w:rsidR="00555752" w:rsidRPr="007A6B68">
        <w:rPr>
          <w:rFonts w:cs="Times New Roman"/>
        </w:rPr>
        <w:t>.</w:t>
      </w:r>
    </w:p>
    <w:p w14:paraId="0E48C19B" w14:textId="0DCAA661" w:rsidR="00F96D55" w:rsidRPr="007A6B68" w:rsidRDefault="00AE78F1" w:rsidP="00E02376">
      <w:pPr>
        <w:spacing w:after="0" w:line="360" w:lineRule="auto"/>
        <w:jc w:val="both"/>
        <w:rPr>
          <w:rFonts w:eastAsiaTheme="minorEastAsia" w:cs="Times New Roman"/>
        </w:rPr>
      </w:pPr>
      <w:r w:rsidRPr="007A6B68">
        <w:rPr>
          <w:rFonts w:cs="Times New Roman"/>
        </w:rPr>
        <w:t xml:space="preserve">2. </w:t>
      </w:r>
      <w:r w:rsidR="00E9005B" w:rsidRPr="007A6B68">
        <w:rPr>
          <w:rFonts w:eastAsiaTheme="minorEastAsia" w:cs="Times New Roman"/>
        </w:rPr>
        <w:t>Т</w:t>
      </w:r>
      <w:r w:rsidRPr="007A6B68">
        <w:rPr>
          <w:rFonts w:eastAsiaTheme="minorEastAsia" w:cs="Times New Roman"/>
        </w:rPr>
        <w:t xml:space="preserve">овщина бази суттєво впливає на фактор </w:t>
      </w:r>
      <w:proofErr w:type="spellStart"/>
      <w:r w:rsidRPr="007A6B68">
        <w:rPr>
          <w:rFonts w:eastAsiaTheme="minorEastAsia" w:cs="Times New Roman"/>
        </w:rPr>
        <w:t>неідеальності</w:t>
      </w:r>
      <w:proofErr w:type="spellEnd"/>
      <w:r w:rsidRPr="007A6B68">
        <w:rPr>
          <w:rFonts w:eastAsiaTheme="minorEastAsia" w:cs="Times New Roman"/>
        </w:rPr>
        <w:t xml:space="preserve"> в умовах, коли довжина дифузії електронів значно перевищує товщину бази. </w:t>
      </w:r>
      <w:r w:rsidR="00F96D55" w:rsidRPr="007A6B68">
        <w:rPr>
          <w:rFonts w:cs="Times New Roman"/>
          <w:highlight w:val="yellow"/>
        </w:rPr>
        <w:t xml:space="preserve">Цей ефект пов’язаний з перерозподілом рекомбінаційних процесів: при </w:t>
      </w:r>
      <w:r w:rsidR="000F628A" w:rsidRPr="007A6B68">
        <w:rPr>
          <w:rFonts w:cs="Times New Roman"/>
          <w:highlight w:val="yellow"/>
        </w:rPr>
        <w:t>збільшенні</w:t>
      </w:r>
      <w:r w:rsidR="00F96D55" w:rsidRPr="007A6B68">
        <w:rPr>
          <w:rFonts w:cs="Times New Roman"/>
          <w:highlight w:val="yellow"/>
        </w:rPr>
        <w:t xml:space="preserve"> товщини бази частина носіїв рекомбінує в областях, суміжних з областю просторового заряду, що зменшує внесок </w:t>
      </w:r>
      <w:r w:rsidR="000F628A" w:rsidRPr="007A6B68">
        <w:rPr>
          <w:rFonts w:cs="Times New Roman"/>
          <w:highlight w:val="yellow"/>
        </w:rPr>
        <w:t>області просторового заряду</w:t>
      </w:r>
      <w:r w:rsidR="00F96D55" w:rsidRPr="007A6B68">
        <w:rPr>
          <w:rFonts w:cs="Times New Roman"/>
          <w:highlight w:val="yellow"/>
        </w:rPr>
        <w:t xml:space="preserve"> у загальну рекомбінацію та, відповідно, </w:t>
      </w:r>
      <w:r w:rsidR="000F628A" w:rsidRPr="007A6B68">
        <w:rPr>
          <w:rFonts w:cs="Times New Roman"/>
          <w:highlight w:val="yellow"/>
        </w:rPr>
        <w:t>зменшує</w:t>
      </w:r>
      <w:r w:rsidR="00F96D55" w:rsidRPr="007A6B68">
        <w:rPr>
          <w:rFonts w:cs="Times New Roman"/>
          <w:highlight w:val="yellow"/>
        </w:rPr>
        <w:t xml:space="preserve"> фактору </w:t>
      </w:r>
      <w:proofErr w:type="spellStart"/>
      <w:r w:rsidR="00F96D55" w:rsidRPr="007A6B68">
        <w:rPr>
          <w:rFonts w:cs="Times New Roman"/>
          <w:highlight w:val="yellow"/>
        </w:rPr>
        <w:t>неідеальності</w:t>
      </w:r>
      <w:proofErr w:type="spellEnd"/>
      <w:r w:rsidR="00F96D55" w:rsidRPr="007A6B68">
        <w:rPr>
          <w:rFonts w:cs="Times New Roman"/>
          <w:highlight w:val="yellow"/>
        </w:rPr>
        <w:t>.</w:t>
      </w:r>
    </w:p>
    <w:p w14:paraId="06DDC6BE" w14:textId="4C0B91CA" w:rsidR="007A6B68" w:rsidRPr="007A6B68" w:rsidRDefault="00AE78F1" w:rsidP="00E02376">
      <w:pPr>
        <w:spacing w:after="0" w:line="360" w:lineRule="auto"/>
        <w:jc w:val="both"/>
        <w:rPr>
          <w:rFonts w:cs="Times New Roman"/>
        </w:rPr>
      </w:pPr>
      <w:r w:rsidRPr="007A6B68">
        <w:rPr>
          <w:rFonts w:cs="Times New Roman"/>
        </w:rPr>
        <w:t>3</w:t>
      </w:r>
      <w:r w:rsidR="00555752" w:rsidRPr="007A6B68">
        <w:rPr>
          <w:rFonts w:cs="Times New Roman"/>
        </w:rPr>
        <w:t xml:space="preserve">. </w:t>
      </w:r>
      <w:r w:rsidR="00757197" w:rsidRPr="007A6B68">
        <w:rPr>
          <w:rFonts w:cs="Times New Roman"/>
        </w:rPr>
        <w:t>Показано</w:t>
      </w:r>
      <w:r w:rsidR="00555752" w:rsidRPr="007A6B68">
        <w:rPr>
          <w:rFonts w:cs="Times New Roman"/>
        </w:rPr>
        <w:t xml:space="preserve">, що </w:t>
      </w:r>
      <w:r w:rsidR="00305CAC" w:rsidRPr="007A6B68">
        <w:rPr>
          <w:rFonts w:cs="Times New Roman"/>
          <w:highlight w:val="yellow"/>
        </w:rPr>
        <w:t>відносн</w:t>
      </w:r>
      <w:r w:rsidR="00682774" w:rsidRPr="007A6B68">
        <w:rPr>
          <w:rFonts w:cs="Times New Roman"/>
          <w:highlight w:val="yellow"/>
        </w:rPr>
        <w:t>а</w:t>
      </w:r>
      <w:r w:rsidR="00305CAC" w:rsidRPr="007A6B68">
        <w:rPr>
          <w:rFonts w:cs="Times New Roman"/>
        </w:rPr>
        <w:t xml:space="preserve"> </w:t>
      </w:r>
      <w:r w:rsidR="000F628A" w:rsidRPr="007A6B68">
        <w:rPr>
          <w:rFonts w:cs="Times New Roman"/>
          <w:highlight w:val="yellow"/>
        </w:rPr>
        <w:t>змін</w:t>
      </w:r>
      <w:r w:rsidR="00682774" w:rsidRPr="007A6B68">
        <w:rPr>
          <w:rFonts w:cs="Times New Roman"/>
          <w:highlight w:val="yellow"/>
        </w:rPr>
        <w:t>а</w:t>
      </w:r>
      <w:r w:rsidR="000F628A" w:rsidRPr="007A6B68">
        <w:rPr>
          <w:rFonts w:cs="Times New Roman"/>
          <w:highlight w:val="yellow"/>
        </w:rPr>
        <w:t xml:space="preserve"> струму короткого замикання</w:t>
      </w:r>
      <w:r w:rsidR="00555752" w:rsidRPr="007A6B68">
        <w:rPr>
          <w:rFonts w:cs="Times New Roman"/>
        </w:rPr>
        <w:t xml:space="preserve"> є найбільш чутливим діагностичним параметром до </w:t>
      </w:r>
      <w:r w:rsidR="000F628A" w:rsidRPr="007A6B68">
        <w:rPr>
          <w:rFonts w:cs="Times New Roman"/>
        </w:rPr>
        <w:t>варіації</w:t>
      </w:r>
      <w:r w:rsidR="00555752" w:rsidRPr="007A6B68">
        <w:rPr>
          <w:rFonts w:cs="Times New Roman"/>
        </w:rPr>
        <w:t xml:space="preserve"> концентрації заліза в </w:t>
      </w:r>
      <w:r w:rsidR="00682774" w:rsidRPr="007A6B68">
        <w:rPr>
          <w:rFonts w:cs="Times New Roman"/>
          <w:highlight w:val="yellow"/>
        </w:rPr>
        <w:t>кремнієвих сонячних елементах</w:t>
      </w:r>
      <w:r w:rsidR="00555752" w:rsidRPr="007A6B68">
        <w:rPr>
          <w:rFonts w:cs="Times New Roman"/>
        </w:rPr>
        <w:t>, особливо за</w:t>
      </w:r>
      <w:r w:rsidR="000F628A" w:rsidRPr="007A6B68">
        <w:rPr>
          <w:rFonts w:cs="Times New Roman"/>
        </w:rPr>
        <w:t xml:space="preserve"> </w:t>
      </w:r>
      <w:r w:rsidR="00555752" w:rsidRPr="007A6B68">
        <w:rPr>
          <w:rFonts w:cs="Times New Roman"/>
        </w:rPr>
        <w:t>умов</w:t>
      </w:r>
      <w:r w:rsidR="0037572A" w:rsidRPr="007A6B68">
        <w:rPr>
          <w:rFonts w:cs="Times New Roman"/>
        </w:rPr>
        <w:t xml:space="preserve"> </w:t>
      </w:r>
      <w:r w:rsidR="00555752" w:rsidRPr="007A6B68">
        <w:rPr>
          <w:rFonts w:cs="Times New Roman"/>
        </w:rPr>
        <w:t>монохроматичного освітлення</w:t>
      </w:r>
      <w:r w:rsidR="00757197" w:rsidRPr="007A6B68">
        <w:rPr>
          <w:rFonts w:cs="Times New Roman"/>
        </w:rPr>
        <w:t xml:space="preserve">, а </w:t>
      </w:r>
      <w:r w:rsidR="00305CAC" w:rsidRPr="007A6B68">
        <w:rPr>
          <w:rFonts w:cs="Times New Roman"/>
          <w:highlight w:val="yellow"/>
        </w:rPr>
        <w:t>відносні зміни ефективності та напруги розімкнутого кола</w:t>
      </w:r>
      <w:r w:rsidR="00305CAC" w:rsidRPr="007A6B68">
        <w:rPr>
          <w:rFonts w:cs="Times New Roman"/>
        </w:rPr>
        <w:t xml:space="preserve"> </w:t>
      </w:r>
      <w:r w:rsidR="00757197" w:rsidRPr="007A6B68">
        <w:rPr>
          <w:rFonts w:cs="Times New Roman"/>
        </w:rPr>
        <w:t xml:space="preserve">можуть використовуватися як додаткові діагностичні параметри для оцінки </w:t>
      </w:r>
      <w:r w:rsidR="002C097B" w:rsidRPr="007A6B68">
        <w:rPr>
          <w:rFonts w:cs="Times New Roman"/>
        </w:rPr>
        <w:t xml:space="preserve">рівня </w:t>
      </w:r>
      <w:r w:rsidR="00757197" w:rsidRPr="007A6B68">
        <w:rPr>
          <w:rFonts w:cs="Times New Roman"/>
        </w:rPr>
        <w:t>забруднення залізом</w:t>
      </w:r>
      <w:r w:rsidR="00555752" w:rsidRPr="007A6B68">
        <w:rPr>
          <w:rFonts w:cs="Times New Roman"/>
        </w:rPr>
        <w:t xml:space="preserve">. </w:t>
      </w:r>
      <w:r w:rsidR="007A6B68" w:rsidRPr="007A6B68">
        <w:rPr>
          <w:rFonts w:cs="Times New Roman"/>
          <w:highlight w:val="yellow"/>
        </w:rPr>
        <w:t xml:space="preserve">Однак їхня інформативність обмежується за низьких рівнях легування бором </w:t>
      </w:r>
      <m:oMath>
        <m:r>
          <w:rPr>
            <w:rFonts w:ascii="Cambria Math" w:hAnsi="Cambria Math" w:cs="Times New Roman"/>
            <w:highlight w:val="yellow"/>
          </w:rPr>
          <m:t>(&lt;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 xml:space="preserve">10 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16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см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-3</m:t>
            </m:r>
          </m:sup>
        </m:sSup>
        <m:r>
          <w:rPr>
            <w:rFonts w:ascii="Cambria Math" w:hAnsi="Cambria Math" w:cs="Times New Roman"/>
            <w:highlight w:val="yellow"/>
          </w:rPr>
          <m:t>)</m:t>
        </m:r>
      </m:oMath>
      <w:r w:rsidR="007A6B68" w:rsidRPr="007A6B68">
        <w:rPr>
          <w:rFonts w:cs="Times New Roman"/>
          <w:highlight w:val="yellow"/>
        </w:rPr>
        <w:t xml:space="preserve"> через немонотонний характер змін при збільшенні концентрації заліза. При концентрації бору </w:t>
      </w:r>
      <m:oMath>
        <m:r>
          <w:rPr>
            <w:rFonts w:ascii="Cambria Math" w:hAnsi="Cambria Math" w:cs="Times New Roman"/>
            <w:highlight w:val="yellow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 xml:space="preserve">10 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16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highlight w:val="yellow"/>
              </w:rPr>
              <m:t>см</m:t>
            </m:r>
          </m:e>
          <m:sup>
            <m:r>
              <w:rPr>
                <w:rFonts w:ascii="Cambria Math" w:hAnsi="Cambria Math" w:cs="Times New Roman"/>
                <w:highlight w:val="yellow"/>
              </w:rPr>
              <m:t>-3</m:t>
            </m:r>
          </m:sup>
        </m:sSup>
      </m:oMath>
      <w:r w:rsidR="007A6B68" w:rsidRPr="007A6B68">
        <w:rPr>
          <w:rFonts w:cs="Times New Roman"/>
          <w:highlight w:val="yellow"/>
        </w:rPr>
        <w:t xml:space="preserve"> точність оцінки концентрації заліза є мінімальною, тоді як зменшення або збільшення концентрації бора збільшує вплив концентрації заліза на</w:t>
      </w:r>
      <w:r w:rsidR="007A6B68" w:rsidRPr="007A6B68">
        <w:rPr>
          <w:rFonts w:eastAsia="Cambria Math" w:cs="Times New Roman"/>
          <w:highlight w:val="yellow"/>
        </w:rPr>
        <w:t xml:space="preserve"> відносну зміну струму короткого замикання</w:t>
      </w:r>
      <w:r w:rsidR="007A6B68" w:rsidRPr="007A6B68">
        <w:rPr>
          <w:rFonts w:cs="Times New Roman"/>
          <w:highlight w:val="yellow"/>
        </w:rPr>
        <w:t>.</w:t>
      </w:r>
    </w:p>
    <w:p w14:paraId="310CBBC6" w14:textId="265204AB" w:rsidR="004A4461" w:rsidRDefault="00AE78F1" w:rsidP="0034549E">
      <w:pPr>
        <w:spacing w:after="0" w:line="360" w:lineRule="auto"/>
        <w:jc w:val="both"/>
        <w:rPr>
          <w:rFonts w:eastAsiaTheme="minorEastAsia" w:cs="Times New Roman"/>
        </w:rPr>
      </w:pPr>
      <w:r w:rsidRPr="007A6B68">
        <w:rPr>
          <w:rFonts w:cs="Times New Roman"/>
        </w:rPr>
        <w:t>4</w:t>
      </w:r>
      <w:r w:rsidR="00757197" w:rsidRPr="007A6B68">
        <w:rPr>
          <w:rFonts w:cs="Times New Roman"/>
        </w:rPr>
        <w:t xml:space="preserve">. </w:t>
      </w:r>
      <w:r w:rsidR="004A4461" w:rsidRPr="007A6B68">
        <w:rPr>
          <w:rFonts w:eastAsiaTheme="minorEastAsia" w:cs="Times New Roman"/>
          <w:highlight w:val="yellow"/>
        </w:rPr>
        <w:t>Результати показали здатність глибоких нейронних мереж</w:t>
      </w:r>
      <w:r w:rsidR="00E40359" w:rsidRPr="00D44BB3">
        <w:rPr>
          <w:rFonts w:eastAsiaTheme="minorEastAsia" w:cs="Times New Roman"/>
          <w:highlight w:val="yellow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ГНМ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</m:sub>
        </m:sSub>
      </m:oMath>
      <w:r w:rsidR="00E40359" w:rsidRPr="00D44BB3">
        <w:rPr>
          <w:rFonts w:eastAsiaTheme="minorEastAsia" w:cs="Times New Roman"/>
          <w:highlight w:val="yellow"/>
          <w:lang w:val="ru-RU"/>
          <w14:ligatures w14:val="none"/>
        </w:rPr>
        <w:t>:{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d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p</m:t>
            </m:r>
          </m:sub>
        </m:sSub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log⁡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B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highlight w:val="yellow"/>
          </w:rPr>
          <m:t>T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</m:sub>
        </m:sSub>
      </m:oMath>
      <w:r w:rsidR="00E40359" w:rsidRPr="00D44BB3">
        <w:rPr>
          <w:rFonts w:eastAsiaTheme="minorEastAsia" w:cs="Times New Roman"/>
          <w:highlight w:val="yellow"/>
          <w:lang w:val="ru-RU"/>
          <w14:ligatures w14:val="none"/>
        </w:rPr>
        <w:t>}</w:t>
      </w:r>
      <w:r w:rsidR="00E40359" w:rsidRPr="00325263">
        <w:rPr>
          <w:rFonts w:eastAsiaTheme="minorEastAsia" w:cs="Times New Roman"/>
          <w:highlight w:val="yellow"/>
          <w14:ligatures w14:val="none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ГНМ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  <m:r>
              <w:rPr>
                <w:rFonts w:ascii="Cambria Math" w:hAnsi="Cambria Math"/>
                <w:highlight w:val="yellow"/>
                <w:lang w:val="ru-RU"/>
              </w:rPr>
              <m:t>-</m:t>
            </m:r>
            <m:r>
              <w:rPr>
                <w:rFonts w:ascii="Cambria Math" w:hAnsi="Cambria Math"/>
                <w:highlight w:val="yellow"/>
                <w:lang w:val="en-US"/>
              </w:rPr>
              <m:t>Fe</m:t>
            </m:r>
          </m:sub>
        </m:sSub>
      </m:oMath>
      <w:r w:rsidR="00E40359" w:rsidRPr="00D44BB3">
        <w:rPr>
          <w:rFonts w:eastAsiaTheme="minorEastAsia" w:cs="Times New Roman"/>
          <w:highlight w:val="yellow"/>
          <w:lang w:val="ru-RU"/>
          <w14:ligatures w14:val="none"/>
        </w:rPr>
        <w:t>:{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d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p</m:t>
            </m:r>
          </m:sub>
        </m:sSub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log⁡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B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r>
          <w:rPr>
            <w:rFonts w:ascii="Cambria Math" w:eastAsiaTheme="minorEastAsia" w:hAnsi="Cambria Math"/>
            <w:highlight w:val="yellow"/>
          </w:rPr>
          <m:t>T</m:t>
        </m:r>
      </m:oMath>
      <w:r w:rsidR="00E40359" w:rsidRPr="00325263">
        <w:rPr>
          <w:rFonts w:eastAsiaTheme="minorEastAsia"/>
          <w:highlight w:val="yello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</m:sub>
        </m:sSub>
      </m:oMath>
      <w:r w:rsidR="00E40359" w:rsidRPr="00D44BB3">
        <w:rPr>
          <w:rFonts w:ascii="Cambria Math" w:eastAsiaTheme="minorEastAsia" w:hAnsi="Cambria Math"/>
          <w:i/>
          <w:highlight w:val="yellow"/>
          <w:lang w:val="ru-RU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14:ligatures w14:val="none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FeFeB</m:t>
            </m:r>
            <m:r>
              <w:rPr>
                <w:rFonts w:ascii="Cambria Math" w:hAnsi="Cambria Math"/>
                <w:highlight w:val="yellow"/>
                <w:lang w:val="ru-RU"/>
              </w:rPr>
              <m:t>-</m:t>
            </m:r>
            <m:r>
              <w:rPr>
                <w:rFonts w:ascii="Cambria Math" w:hAnsi="Cambria Math"/>
                <w:highlight w:val="yellow"/>
                <w:lang w:val="en-US"/>
              </w:rPr>
              <m:t>Fe</m:t>
            </m:r>
          </m:sub>
        </m:sSub>
      </m:oMath>
      <w:r w:rsidR="00E40359" w:rsidRPr="00D44BB3">
        <w:rPr>
          <w:rFonts w:eastAsiaTheme="minorEastAsia" w:cs="Times New Roman"/>
          <w:highlight w:val="yellow"/>
          <w:lang w:val="ru-RU"/>
          <w14:ligatures w14:val="none"/>
        </w:rPr>
        <w:t>}</w:t>
      </w:r>
      <w:r w:rsidR="004A4461" w:rsidRPr="00325263">
        <w:rPr>
          <w:rFonts w:eastAsiaTheme="minorEastAsia" w:cs="Times New Roman"/>
          <w:highlight w:val="yellow"/>
        </w:rPr>
        <w:t xml:space="preserve"> </w:t>
      </w:r>
      <w:r w:rsidR="004A4461" w:rsidRPr="007A6B68">
        <w:rPr>
          <w:rFonts w:eastAsiaTheme="minorEastAsia" w:cs="Times New Roman"/>
          <w:highlight w:val="yellow"/>
        </w:rPr>
        <w:t>прогнозувати концентрацію заліза</w:t>
      </w:r>
      <w:r w:rsidR="00325E5A" w:rsidRPr="007A6B68">
        <w:rPr>
          <w:rFonts w:eastAsiaTheme="minorEastAsia" w:cs="Times New Roman"/>
          <w:highlight w:val="yellow"/>
        </w:rPr>
        <w:t xml:space="preserve"> </w:t>
      </w:r>
      <w:r w:rsidR="00E40359">
        <w:rPr>
          <w:rFonts w:eastAsiaTheme="minorEastAsia" w:cs="Times New Roman"/>
          <w:highlight w:val="yellow"/>
        </w:rPr>
        <w:t xml:space="preserve">в діапазоні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(10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highlight w:val="yellow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13</m:t>
            </m:r>
          </m:sup>
        </m:sSup>
        <m:r>
          <w:rPr>
            <w:rFonts w:ascii="Cambria Math" w:eastAsiaTheme="minorEastAsia" w:hAnsi="Cambria Math" w:cs="Times New Roman"/>
            <w:highlight w:val="yellow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 w:cs="Times New Roman"/>
                <w:highlight w:val="yellow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highlight w:val="yellow"/>
              </w:rPr>
              <m:t>-3</m:t>
            </m:r>
          </m:sup>
        </m:sSup>
      </m:oMath>
      <w:r w:rsidR="004A4461" w:rsidRPr="007A6B68">
        <w:rPr>
          <w:rFonts w:eastAsiaTheme="minorEastAsia" w:cs="Times New Roman"/>
          <w:highlight w:val="yellow"/>
        </w:rPr>
        <w:t xml:space="preserve"> з високою точністю</w:t>
      </w:r>
      <w:r w:rsidR="00E40359">
        <w:rPr>
          <w:rFonts w:eastAsiaTheme="minorEastAsia" w:cs="Times New Roman"/>
          <w:highlight w:val="yellow"/>
        </w:rPr>
        <w:t xml:space="preserve">. </w:t>
      </w:r>
      <w:r w:rsidR="004A4461" w:rsidRPr="007A6B68">
        <w:rPr>
          <w:rFonts w:eastAsiaTheme="minorEastAsia" w:cs="Times New Roman"/>
          <w:highlight w:val="yellow"/>
        </w:rPr>
        <w:t>Для змодел</w:t>
      </w:r>
      <w:r w:rsidR="0040215F" w:rsidRPr="007A6B68">
        <w:rPr>
          <w:rFonts w:eastAsiaTheme="minorEastAsia" w:cs="Times New Roman"/>
          <w:highlight w:val="yellow"/>
        </w:rPr>
        <w:t>ь</w:t>
      </w:r>
      <w:r w:rsidR="004A4461" w:rsidRPr="007A6B68">
        <w:rPr>
          <w:rFonts w:eastAsiaTheme="minorEastAsia" w:cs="Times New Roman"/>
          <w:highlight w:val="yellow"/>
        </w:rPr>
        <w:t xml:space="preserve">ованих наборів даних середня квадратична відносна похибка становить лише 0,005. Водночас практичне застосування цього підходу </w:t>
      </w:r>
      <w:r w:rsidR="004A4461" w:rsidRPr="007A6B68">
        <w:rPr>
          <w:rFonts w:eastAsiaTheme="minorEastAsia" w:cs="Times New Roman"/>
          <w:highlight w:val="yellow"/>
        </w:rPr>
        <w:lastRenderedPageBreak/>
        <w:t xml:space="preserve">продемонструвало труднощі в отриманні </w:t>
      </w:r>
      <w:r w:rsidR="0040215F" w:rsidRPr="007A6B68">
        <w:rPr>
          <w:rFonts w:eastAsiaTheme="minorEastAsia" w:cs="Times New Roman"/>
          <w:highlight w:val="yellow"/>
        </w:rPr>
        <w:t>точних прогнозів</w:t>
      </w:r>
      <w:r w:rsidR="004A4461" w:rsidRPr="007A6B68">
        <w:rPr>
          <w:rFonts w:eastAsiaTheme="minorEastAsia" w:cs="Times New Roman"/>
          <w:highlight w:val="yellow"/>
        </w:rPr>
        <w:t>. Важливо було навч</w:t>
      </w:r>
      <w:r w:rsidR="0040215F" w:rsidRPr="007A6B68">
        <w:rPr>
          <w:rFonts w:eastAsiaTheme="minorEastAsia" w:cs="Times New Roman"/>
          <w:highlight w:val="yellow"/>
        </w:rPr>
        <w:t>ати</w:t>
      </w:r>
      <w:r w:rsidR="004A4461" w:rsidRPr="007A6B68">
        <w:rPr>
          <w:rFonts w:eastAsiaTheme="minorEastAsia" w:cs="Times New Roman"/>
          <w:highlight w:val="yellow"/>
        </w:rPr>
        <w:t xml:space="preserve"> </w:t>
      </w:r>
      <w:r w:rsidR="0040215F" w:rsidRPr="007A6B68">
        <w:rPr>
          <w:rFonts w:eastAsiaTheme="minorEastAsia" w:cs="Times New Roman"/>
          <w:highlight w:val="yellow"/>
        </w:rPr>
        <w:t>глибокі нейроні мережі</w:t>
      </w:r>
      <w:r w:rsidR="004A4461" w:rsidRPr="007A6B68">
        <w:rPr>
          <w:rFonts w:eastAsiaTheme="minorEastAsia" w:cs="Times New Roman"/>
          <w:highlight w:val="yellow"/>
        </w:rPr>
        <w:t xml:space="preserve"> </w:t>
      </w:r>
      <w:r w:rsidR="0040215F" w:rsidRPr="007A6B68">
        <w:rPr>
          <w:rFonts w:eastAsiaTheme="minorEastAsia" w:cs="Times New Roman"/>
          <w:highlight w:val="yellow"/>
        </w:rPr>
        <w:t>на значеннях</w:t>
      </w:r>
      <w:r w:rsidR="004A4461" w:rsidRPr="007A6B68">
        <w:rPr>
          <w:rFonts w:eastAsiaTheme="minorEastAsia" w:cs="Times New Roman"/>
          <w:highlight w:val="yellow"/>
        </w:rPr>
        <w:t xml:space="preserve"> концентрації бору, які відповідали рівню легування досліджуваних структур. Більше того, збільшення концентрації заліза або бору, а також </w:t>
      </w:r>
      <w:r w:rsidR="00211A79">
        <w:rPr>
          <w:rFonts w:eastAsiaTheme="minorEastAsia" w:cs="Times New Roman"/>
          <w:highlight w:val="yellow"/>
        </w:rPr>
        <w:t>зменшення</w:t>
      </w:r>
      <w:r w:rsidR="004A4461" w:rsidRPr="007A6B68">
        <w:rPr>
          <w:rFonts w:eastAsiaTheme="minorEastAsia" w:cs="Times New Roman"/>
          <w:highlight w:val="yellow"/>
        </w:rPr>
        <w:t xml:space="preserve"> температури призводили до менших похибок прогнозування.</w:t>
      </w:r>
    </w:p>
    <w:p w14:paraId="1A60148E" w14:textId="65BDA933" w:rsidR="00E1598F" w:rsidRDefault="00D44BB3" w:rsidP="00E1598F">
      <w:pPr>
        <w:spacing w:after="0" w:line="36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5. </w:t>
      </w:r>
      <w:r w:rsidR="005C7D43">
        <w:rPr>
          <w:iCs/>
        </w:rPr>
        <w:t>Д</w:t>
      </w:r>
      <w:r w:rsidR="00E1598F" w:rsidRPr="00086A79">
        <w:rPr>
          <w:iCs/>
        </w:rPr>
        <w:t xml:space="preserve">ля умов монохроматичного освітлення найкращі результати забезпечують прості </w:t>
      </w:r>
      <w:r w:rsidR="005C7D43">
        <w:rPr>
          <w:iCs/>
        </w:rPr>
        <w:t xml:space="preserve">вхідні </w:t>
      </w:r>
      <w:r w:rsidR="00E1598F">
        <w:rPr>
          <w:iCs/>
        </w:rPr>
        <w:t>ознаки</w:t>
      </w:r>
      <w:r w:rsidR="00E1598F" w:rsidRPr="00086A79">
        <w:rPr>
          <w:iCs/>
        </w:rPr>
        <w:t>, такі як відносні зміни струму короткого замикання, рівень легування</w:t>
      </w:r>
      <w:r w:rsidR="00E1598F">
        <w:rPr>
          <w:iCs/>
        </w:rPr>
        <w:t xml:space="preserve"> бази</w:t>
      </w:r>
      <w:r w:rsidR="00E1598F" w:rsidRPr="00086A79">
        <w:rPr>
          <w:iCs/>
        </w:rPr>
        <w:t xml:space="preserve">, товщина бази та температура. Для стандартного освітлення AM1.5 доцільно додатково враховувати </w:t>
      </w:r>
      <w:r w:rsidR="00E1598F">
        <w:rPr>
          <w:iCs/>
        </w:rPr>
        <w:t xml:space="preserve">відносні </w:t>
      </w:r>
      <w:r w:rsidR="00E1598F" w:rsidRPr="00086A79">
        <w:rPr>
          <w:iCs/>
        </w:rPr>
        <w:t>зміни</w:t>
      </w:r>
      <w:r w:rsidR="00E1598F">
        <w:rPr>
          <w:iCs/>
        </w:rPr>
        <w:t>:</w:t>
      </w:r>
      <w:r w:rsidR="00E1598F" w:rsidRPr="00086A79">
        <w:rPr>
          <w:iCs/>
        </w:rPr>
        <w:t xml:space="preserve"> напруги </w:t>
      </w:r>
      <w:r w:rsidR="00E1598F">
        <w:rPr>
          <w:iCs/>
        </w:rPr>
        <w:t>розімкнутого кола</w:t>
      </w:r>
      <w:r w:rsidR="00E1598F" w:rsidRPr="00086A79">
        <w:rPr>
          <w:iCs/>
        </w:rPr>
        <w:t xml:space="preserve">, ефективності та </w:t>
      </w:r>
      <w:proofErr w:type="spellStart"/>
      <w:r w:rsidR="00E1598F" w:rsidRPr="00086A79">
        <w:rPr>
          <w:iCs/>
        </w:rPr>
        <w:t>фактора</w:t>
      </w:r>
      <w:proofErr w:type="spellEnd"/>
      <w:r w:rsidR="00E1598F" w:rsidRPr="00086A79">
        <w:rPr>
          <w:iCs/>
        </w:rPr>
        <w:t xml:space="preserve"> форми.</w:t>
      </w:r>
    </w:p>
    <w:p w14:paraId="25FFEA66" w14:textId="083A4CDA" w:rsidR="00D44BB3" w:rsidRDefault="00E1598F" w:rsidP="0034549E">
      <w:pPr>
        <w:spacing w:after="0" w:line="36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>6. Я</w:t>
      </w:r>
      <w:r w:rsidRPr="00E1598F">
        <w:rPr>
          <w:rFonts w:eastAsiaTheme="minorEastAsia" w:cs="Times New Roman"/>
        </w:rPr>
        <w:t>кість прогнозування значною мірою залежить від узгодженості параметрів тренувального набору з умовами майбутнього застосування моделі. Особливо критичними є температура та рівень легування, для яких навіть незначна невідповідність між навчальними й тестовими даними призводить до погіршення результатів. Використання методу головних компонент для зменшення розмірності дозволяє спростити структуру вхідних даних, проте супроводжується певною втратою точності.</w:t>
      </w:r>
    </w:p>
    <w:p w14:paraId="7D3CA44E" w14:textId="750BCDF6" w:rsidR="005C7D43" w:rsidRDefault="005C7D43" w:rsidP="0034549E">
      <w:pPr>
        <w:spacing w:after="0" w:line="360" w:lineRule="auto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7. </w:t>
      </w:r>
      <w:proofErr w:type="spellStart"/>
      <w:r w:rsidR="00F57119" w:rsidRPr="00086A79">
        <w:rPr>
          <w:rFonts w:eastAsiaTheme="minorEastAsia"/>
          <w:iCs/>
        </w:rPr>
        <w:t>eXtreme</w:t>
      </w:r>
      <w:proofErr w:type="spellEnd"/>
      <w:r w:rsidR="00F57119" w:rsidRPr="00086A79">
        <w:rPr>
          <w:rFonts w:eastAsiaTheme="minorEastAsia"/>
          <w:iCs/>
        </w:rPr>
        <w:t xml:space="preserve"> </w:t>
      </w:r>
      <w:proofErr w:type="spellStart"/>
      <w:r w:rsidR="00F57119" w:rsidRPr="00086A79">
        <w:rPr>
          <w:rFonts w:eastAsiaTheme="minorEastAsia"/>
          <w:iCs/>
        </w:rPr>
        <w:t>Gradient</w:t>
      </w:r>
      <w:proofErr w:type="spellEnd"/>
      <w:r w:rsidR="00F57119" w:rsidRPr="00086A79">
        <w:rPr>
          <w:rFonts w:eastAsiaTheme="minorEastAsia"/>
          <w:iCs/>
        </w:rPr>
        <w:t xml:space="preserve"> </w:t>
      </w:r>
      <w:proofErr w:type="spellStart"/>
      <w:r w:rsidR="00F57119" w:rsidRPr="00086A79">
        <w:rPr>
          <w:rFonts w:eastAsiaTheme="minorEastAsia"/>
          <w:iCs/>
        </w:rPr>
        <w:t>Boosting</w:t>
      </w:r>
      <w:proofErr w:type="spellEnd"/>
      <w:r w:rsidR="00F57119" w:rsidRPr="00086A79">
        <w:rPr>
          <w:rFonts w:eastAsiaTheme="minorEastAsia"/>
          <w:iCs/>
        </w:rPr>
        <w:t xml:space="preserve"> та </w:t>
      </w:r>
      <w:r w:rsidR="00F57119">
        <w:rPr>
          <w:rFonts w:eastAsiaTheme="minorEastAsia"/>
          <w:iCs/>
          <w:lang w:val="en-US"/>
        </w:rPr>
        <w:t>Deep</w:t>
      </w:r>
      <w:r w:rsidR="00F57119" w:rsidRPr="00F57119">
        <w:rPr>
          <w:rFonts w:eastAsiaTheme="minorEastAsia"/>
          <w:iCs/>
        </w:rPr>
        <w:t xml:space="preserve"> </w:t>
      </w:r>
      <w:r w:rsidR="00F57119">
        <w:rPr>
          <w:rFonts w:eastAsiaTheme="minorEastAsia"/>
          <w:iCs/>
          <w:lang w:val="en-US"/>
        </w:rPr>
        <w:t>Neural</w:t>
      </w:r>
      <w:r w:rsidR="00F57119" w:rsidRPr="00F57119">
        <w:rPr>
          <w:rFonts w:eastAsiaTheme="minorEastAsia"/>
          <w:iCs/>
        </w:rPr>
        <w:t xml:space="preserve"> </w:t>
      </w:r>
      <w:r w:rsidR="00F57119">
        <w:rPr>
          <w:rFonts w:eastAsiaTheme="minorEastAsia"/>
          <w:iCs/>
          <w:lang w:val="en-US"/>
        </w:rPr>
        <w:t>Network</w:t>
      </w:r>
      <w:r w:rsidR="00F57119" w:rsidRPr="00086A79">
        <w:rPr>
          <w:rFonts w:eastAsiaTheme="minorEastAsia"/>
          <w:iCs/>
        </w:rPr>
        <w:t xml:space="preserve"> забезпечують найвищу точність прогнозування </w:t>
      </w:r>
      <w:r w:rsidR="00F57119" w:rsidRPr="00F57119">
        <w:rPr>
          <w:rFonts w:eastAsiaTheme="minorEastAsia"/>
          <w:iCs/>
        </w:rPr>
        <w:t>(</w:t>
      </w:r>
      <w:r w:rsidR="00F57119" w:rsidRPr="00086A79">
        <w:rPr>
          <w:rFonts w:eastAsiaTheme="minorEastAsia"/>
          <w:iCs/>
        </w:rPr>
        <w:t>MSE</w:t>
      </w:r>
      <w:r w:rsidR="00F57119" w:rsidRPr="00F57119">
        <w:rPr>
          <w:rFonts w:eastAsiaTheme="minorEastAsia"/>
          <w:iCs/>
        </w:rPr>
        <w:t xml:space="preserve">=0,004; </w:t>
      </w:r>
      <w:r w:rsidR="00F57119">
        <w:rPr>
          <w:rFonts w:eastAsiaTheme="minorEastAsia"/>
          <w:iCs/>
          <w:lang w:val="en-US"/>
        </w:rPr>
        <w:t>MAPE</w:t>
      </w:r>
      <w:r w:rsidR="00F57119" w:rsidRPr="00F57119">
        <w:rPr>
          <w:rFonts w:eastAsiaTheme="minorEastAsia"/>
          <w:iCs/>
        </w:rPr>
        <w:t xml:space="preserve">=9%; </w:t>
      </w:r>
      <w:r w:rsidR="00F57119">
        <w:rPr>
          <w:rFonts w:eastAsiaTheme="minorEastAsia"/>
          <w:iCs/>
          <w:lang w:val="en-US"/>
        </w:rPr>
        <w:t>R</w:t>
      </w:r>
      <w:r w:rsidR="00F57119" w:rsidRPr="00F57119">
        <w:rPr>
          <w:rFonts w:eastAsiaTheme="minorEastAsia"/>
          <w:iCs/>
          <w:vertAlign w:val="superscript"/>
        </w:rPr>
        <w:t>2</w:t>
      </w:r>
      <w:r w:rsidR="00F57119" w:rsidRPr="00F57119">
        <w:rPr>
          <w:rFonts w:eastAsiaTheme="minorEastAsia"/>
          <w:iCs/>
        </w:rPr>
        <w:t>=0,</w:t>
      </w:r>
      <w:r w:rsidR="00F57119">
        <w:rPr>
          <w:rFonts w:eastAsiaTheme="minorEastAsia"/>
          <w:iCs/>
        </w:rPr>
        <w:t>99</w:t>
      </w:r>
      <w:r w:rsidR="00F57119" w:rsidRPr="00F57119">
        <w:rPr>
          <w:rFonts w:eastAsiaTheme="minorEastAsia"/>
          <w:iCs/>
        </w:rPr>
        <w:t xml:space="preserve">7) </w:t>
      </w:r>
      <w:r w:rsidR="00F57119" w:rsidRPr="00086A79">
        <w:rPr>
          <w:rFonts w:eastAsiaTheme="minorEastAsia"/>
          <w:iCs/>
        </w:rPr>
        <w:t xml:space="preserve">для </w:t>
      </w:r>
      <w:r w:rsidR="00F57119">
        <w:rPr>
          <w:rFonts w:eastAsiaTheme="minorEastAsia"/>
          <w:iCs/>
        </w:rPr>
        <w:t>змодельован</w:t>
      </w:r>
      <w:r w:rsidR="00F57119">
        <w:rPr>
          <w:rFonts w:eastAsiaTheme="minorEastAsia"/>
          <w:iCs/>
        </w:rPr>
        <w:t>ої</w:t>
      </w:r>
      <w:r w:rsidR="00F57119" w:rsidRPr="00086A79">
        <w:rPr>
          <w:rFonts w:eastAsiaTheme="minorEastAsia"/>
          <w:iCs/>
        </w:rPr>
        <w:t xml:space="preserve"> </w:t>
      </w:r>
      <w:r w:rsidR="00F57119">
        <w:rPr>
          <w:rFonts w:eastAsiaTheme="minorEastAsia"/>
          <w:iCs/>
        </w:rPr>
        <w:t xml:space="preserve">бази </w:t>
      </w:r>
      <w:r w:rsidR="00F57119" w:rsidRPr="00086A79">
        <w:rPr>
          <w:rFonts w:eastAsiaTheme="minorEastAsia"/>
          <w:iCs/>
        </w:rPr>
        <w:t xml:space="preserve">даних та </w:t>
      </w:r>
      <w:r w:rsidR="00F57119" w:rsidRPr="00F57119">
        <w:rPr>
          <w:rFonts w:eastAsiaTheme="minorEastAsia"/>
          <w:iCs/>
        </w:rPr>
        <w:t>(</w:t>
      </w:r>
      <w:r w:rsidR="00F57119" w:rsidRPr="00086A79">
        <w:rPr>
          <w:rFonts w:eastAsiaTheme="minorEastAsia"/>
          <w:iCs/>
        </w:rPr>
        <w:t>MSE</w:t>
      </w:r>
      <w:r w:rsidR="00F57119" w:rsidRPr="00F57119">
        <w:rPr>
          <w:rFonts w:eastAsiaTheme="minorEastAsia"/>
          <w:iCs/>
        </w:rPr>
        <w:t xml:space="preserve">=0,004; </w:t>
      </w:r>
      <w:r w:rsidR="00F57119">
        <w:rPr>
          <w:rFonts w:eastAsiaTheme="minorEastAsia"/>
          <w:iCs/>
          <w:lang w:val="en-US"/>
        </w:rPr>
        <w:t>MAPE</w:t>
      </w:r>
      <w:r w:rsidR="00F57119" w:rsidRPr="00F57119">
        <w:rPr>
          <w:rFonts w:eastAsiaTheme="minorEastAsia"/>
          <w:iCs/>
        </w:rPr>
        <w:t xml:space="preserve">=9%; </w:t>
      </w:r>
      <w:r w:rsidR="00F57119">
        <w:rPr>
          <w:rFonts w:eastAsiaTheme="minorEastAsia"/>
          <w:iCs/>
          <w:lang w:val="en-US"/>
        </w:rPr>
        <w:t>R</w:t>
      </w:r>
      <w:r w:rsidR="00F57119" w:rsidRPr="00F57119">
        <w:rPr>
          <w:rFonts w:eastAsiaTheme="minorEastAsia"/>
          <w:iCs/>
          <w:vertAlign w:val="superscript"/>
        </w:rPr>
        <w:t>2</w:t>
      </w:r>
      <w:r w:rsidR="00F57119" w:rsidRPr="00F57119">
        <w:rPr>
          <w:rFonts w:eastAsiaTheme="minorEastAsia"/>
          <w:iCs/>
        </w:rPr>
        <w:t>=0,</w:t>
      </w:r>
      <w:r w:rsidR="00F57119">
        <w:rPr>
          <w:rFonts w:eastAsiaTheme="minorEastAsia"/>
          <w:iCs/>
        </w:rPr>
        <w:t>987</w:t>
      </w:r>
      <w:r w:rsidR="00F57119" w:rsidRPr="00F57119">
        <w:rPr>
          <w:rFonts w:eastAsiaTheme="minorEastAsia"/>
          <w:iCs/>
        </w:rPr>
        <w:t>)</w:t>
      </w:r>
      <w:r w:rsidR="00F57119">
        <w:rPr>
          <w:rFonts w:eastAsiaTheme="minorEastAsia"/>
          <w:iCs/>
        </w:rPr>
        <w:t xml:space="preserve"> </w:t>
      </w:r>
      <w:r w:rsidR="00F57119" w:rsidRPr="00086A79">
        <w:rPr>
          <w:rFonts w:eastAsiaTheme="minorEastAsia"/>
          <w:iCs/>
        </w:rPr>
        <w:t xml:space="preserve">для експериментальних даних. </w:t>
      </w:r>
      <w:r w:rsidR="00F57119">
        <w:rPr>
          <w:rFonts w:eastAsiaTheme="minorEastAsia"/>
          <w:iCs/>
        </w:rPr>
        <w:t>Якщо в тестовій вибірці є розбіжності в рівнях легування бази з тренувальним набором, то</w:t>
      </w:r>
      <w:r w:rsidR="00F57119" w:rsidRPr="00F57119">
        <w:rPr>
          <w:rFonts w:eastAsiaTheme="minorEastAsia"/>
          <w:iCs/>
        </w:rPr>
        <w:t xml:space="preserve"> </w:t>
      </w:r>
      <w:r w:rsidR="00F57119">
        <w:rPr>
          <w:rFonts w:eastAsiaTheme="minorEastAsia"/>
          <w:iCs/>
        </w:rPr>
        <w:t xml:space="preserve">доцільно використовувати тільки </w:t>
      </w:r>
      <w:r w:rsidR="00F57119">
        <w:rPr>
          <w:rFonts w:eastAsiaTheme="minorEastAsia"/>
          <w:iCs/>
          <w:lang w:val="en-US"/>
        </w:rPr>
        <w:t>Deep</w:t>
      </w:r>
      <w:r w:rsidR="00F57119" w:rsidRPr="00F57119">
        <w:rPr>
          <w:rFonts w:eastAsiaTheme="minorEastAsia"/>
          <w:iCs/>
        </w:rPr>
        <w:t xml:space="preserve"> </w:t>
      </w:r>
      <w:r w:rsidR="00F57119">
        <w:rPr>
          <w:rFonts w:eastAsiaTheme="minorEastAsia"/>
          <w:iCs/>
          <w:lang w:val="en-US"/>
        </w:rPr>
        <w:t>Neural</w:t>
      </w:r>
      <w:r w:rsidR="00F57119" w:rsidRPr="00F57119">
        <w:rPr>
          <w:rFonts w:eastAsiaTheme="minorEastAsia"/>
          <w:iCs/>
        </w:rPr>
        <w:t xml:space="preserve"> </w:t>
      </w:r>
      <w:r w:rsidR="00F57119">
        <w:rPr>
          <w:rFonts w:eastAsiaTheme="minorEastAsia"/>
          <w:iCs/>
          <w:lang w:val="en-US"/>
        </w:rPr>
        <w:t>Network</w:t>
      </w:r>
      <w:r w:rsidR="00F57119" w:rsidRPr="00086A79">
        <w:rPr>
          <w:rFonts w:eastAsiaTheme="minorEastAsia"/>
          <w:iCs/>
        </w:rPr>
        <w:t xml:space="preserve">. Застосування </w:t>
      </w:r>
      <w:r w:rsidR="00F57119">
        <w:rPr>
          <w:rFonts w:eastAsiaTheme="minorEastAsia"/>
          <w:iCs/>
        </w:rPr>
        <w:t xml:space="preserve">алгоритму </w:t>
      </w:r>
      <w:proofErr w:type="spellStart"/>
      <w:r w:rsidR="00F57119" w:rsidRPr="00086A79">
        <w:rPr>
          <w:rFonts w:eastAsiaTheme="minorEastAsia"/>
          <w:iCs/>
        </w:rPr>
        <w:t>Support</w:t>
      </w:r>
      <w:proofErr w:type="spellEnd"/>
      <w:r w:rsidR="00F57119" w:rsidRPr="00086A79">
        <w:rPr>
          <w:rFonts w:eastAsiaTheme="minorEastAsia"/>
          <w:iCs/>
        </w:rPr>
        <w:t xml:space="preserve"> </w:t>
      </w:r>
      <w:proofErr w:type="spellStart"/>
      <w:r w:rsidR="00F57119" w:rsidRPr="00086A79">
        <w:rPr>
          <w:rFonts w:eastAsiaTheme="minorEastAsia"/>
          <w:iCs/>
        </w:rPr>
        <w:t>Vector</w:t>
      </w:r>
      <w:proofErr w:type="spellEnd"/>
      <w:r w:rsidR="00F57119" w:rsidRPr="00086A79">
        <w:rPr>
          <w:rFonts w:eastAsiaTheme="minorEastAsia"/>
          <w:iCs/>
        </w:rPr>
        <w:t xml:space="preserve"> </w:t>
      </w:r>
      <w:proofErr w:type="spellStart"/>
      <w:r w:rsidR="00F57119" w:rsidRPr="00086A79">
        <w:rPr>
          <w:rFonts w:eastAsiaTheme="minorEastAsia"/>
          <w:iCs/>
        </w:rPr>
        <w:t>Regression</w:t>
      </w:r>
      <w:proofErr w:type="spellEnd"/>
      <w:r w:rsidR="00F57119" w:rsidRPr="00086A79">
        <w:rPr>
          <w:rFonts w:eastAsiaTheme="minorEastAsia"/>
          <w:iCs/>
        </w:rPr>
        <w:t xml:space="preserve"> </w:t>
      </w:r>
      <w:r w:rsidR="00F57119">
        <w:rPr>
          <w:rFonts w:eastAsiaTheme="minorEastAsia"/>
          <w:iCs/>
        </w:rPr>
        <w:t>для</w:t>
      </w:r>
      <w:r w:rsidR="00F57119" w:rsidRPr="00086A79">
        <w:rPr>
          <w:rFonts w:eastAsiaTheme="minorEastAsia"/>
          <w:iCs/>
        </w:rPr>
        <w:t xml:space="preserve"> </w:t>
      </w:r>
      <w:proofErr w:type="spellStart"/>
      <w:r w:rsidR="00F57119" w:rsidRPr="00086A79">
        <w:rPr>
          <w:rFonts w:eastAsiaTheme="minorEastAsia"/>
          <w:iCs/>
        </w:rPr>
        <w:t>дан</w:t>
      </w:r>
      <w:r w:rsidR="00F57119">
        <w:rPr>
          <w:rFonts w:eastAsiaTheme="minorEastAsia"/>
          <w:iCs/>
        </w:rPr>
        <w:t>ної</w:t>
      </w:r>
      <w:proofErr w:type="spellEnd"/>
      <w:r w:rsidR="00F57119" w:rsidRPr="00086A79">
        <w:rPr>
          <w:rFonts w:eastAsiaTheme="minorEastAsia"/>
          <w:iCs/>
        </w:rPr>
        <w:t xml:space="preserve"> задачі є недоцільним.</w:t>
      </w:r>
    </w:p>
    <w:p w14:paraId="17C4F33F" w14:textId="77777777" w:rsidR="00E1598F" w:rsidRPr="007A6B68" w:rsidRDefault="00E1598F" w:rsidP="0034549E">
      <w:pPr>
        <w:spacing w:after="0" w:line="360" w:lineRule="auto"/>
        <w:jc w:val="both"/>
        <w:rPr>
          <w:rFonts w:cs="Times New Roman"/>
        </w:rPr>
      </w:pPr>
    </w:p>
    <w:p w14:paraId="4096EFDD" w14:textId="77777777" w:rsidR="004A4461" w:rsidRPr="007A6B68" w:rsidRDefault="004A4461" w:rsidP="0034549E">
      <w:pPr>
        <w:spacing w:after="0" w:line="360" w:lineRule="auto"/>
        <w:jc w:val="both"/>
        <w:rPr>
          <w:rFonts w:eastAsiaTheme="minorEastAsia" w:cs="Times New Roman"/>
        </w:rPr>
      </w:pPr>
    </w:p>
    <w:sectPr w:rsidR="004A4461" w:rsidRPr="007A6B68" w:rsidSect="00D44BB3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684"/>
    <w:rsid w:val="000308EF"/>
    <w:rsid w:val="000A1D85"/>
    <w:rsid w:val="000F628A"/>
    <w:rsid w:val="000F6951"/>
    <w:rsid w:val="001148D0"/>
    <w:rsid w:val="00167BEF"/>
    <w:rsid w:val="00211A79"/>
    <w:rsid w:val="00221D6A"/>
    <w:rsid w:val="00233684"/>
    <w:rsid w:val="002A0BC8"/>
    <w:rsid w:val="002C097B"/>
    <w:rsid w:val="002F1E16"/>
    <w:rsid w:val="00305CAC"/>
    <w:rsid w:val="00325263"/>
    <w:rsid w:val="00325E5A"/>
    <w:rsid w:val="00325F42"/>
    <w:rsid w:val="0034549E"/>
    <w:rsid w:val="00371319"/>
    <w:rsid w:val="0037572A"/>
    <w:rsid w:val="003D79BC"/>
    <w:rsid w:val="0040215F"/>
    <w:rsid w:val="004A4461"/>
    <w:rsid w:val="00516EB2"/>
    <w:rsid w:val="00555752"/>
    <w:rsid w:val="005C7D43"/>
    <w:rsid w:val="00682774"/>
    <w:rsid w:val="006C0B77"/>
    <w:rsid w:val="00757197"/>
    <w:rsid w:val="007A6B68"/>
    <w:rsid w:val="007E615B"/>
    <w:rsid w:val="008242FF"/>
    <w:rsid w:val="00855A39"/>
    <w:rsid w:val="00870751"/>
    <w:rsid w:val="00922C48"/>
    <w:rsid w:val="009371EF"/>
    <w:rsid w:val="00AD0DE3"/>
    <w:rsid w:val="00AD4B89"/>
    <w:rsid w:val="00AE78F1"/>
    <w:rsid w:val="00B227FD"/>
    <w:rsid w:val="00B72016"/>
    <w:rsid w:val="00B871EB"/>
    <w:rsid w:val="00B915B7"/>
    <w:rsid w:val="00BD1918"/>
    <w:rsid w:val="00C03621"/>
    <w:rsid w:val="00C87D68"/>
    <w:rsid w:val="00CA68A2"/>
    <w:rsid w:val="00D44BB3"/>
    <w:rsid w:val="00E02376"/>
    <w:rsid w:val="00E1598F"/>
    <w:rsid w:val="00E33FF6"/>
    <w:rsid w:val="00E40359"/>
    <w:rsid w:val="00E9005B"/>
    <w:rsid w:val="00E908E8"/>
    <w:rsid w:val="00EA59DF"/>
    <w:rsid w:val="00EE4070"/>
    <w:rsid w:val="00F12C76"/>
    <w:rsid w:val="00F250FB"/>
    <w:rsid w:val="00F57119"/>
    <w:rsid w:val="00F66FEF"/>
    <w:rsid w:val="00F67C07"/>
    <w:rsid w:val="00F96D55"/>
    <w:rsid w:val="00FA2DBA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55162"/>
  <w15:chartTrackingRefBased/>
  <w15:docId w15:val="{250A42C7-CB04-46B9-80E2-D7EF9D9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33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3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6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36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36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36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36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36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36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68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2336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33684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233684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233684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233684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233684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233684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233684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2336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3684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2336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3684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233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3684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2336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368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36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3684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233684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37131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58</cp:revision>
  <dcterms:created xsi:type="dcterms:W3CDTF">2025-06-25T05:26:00Z</dcterms:created>
  <dcterms:modified xsi:type="dcterms:W3CDTF">2025-07-16T09:36:00Z</dcterms:modified>
</cp:coreProperties>
</file>