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0AA9" w:rsidRPr="005C50B0" w:rsidRDefault="00550AA9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ПЕРЕЛІК УМОВНИХ ПОЗНАЧЕНЬ, СКОРОЧЕНЬ І ТЕРМІНІВ……</w:t>
      </w:r>
      <w:r w:rsidR="005C50B0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…..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550AA9" w:rsidRPr="005C50B0" w:rsidRDefault="00550AA9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ВСТУП………………………………………………………………………</w:t>
      </w:r>
      <w:r w:rsidR="005C50B0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……</w:t>
      </w:r>
      <w:r w:rsidR="00B7580A" w:rsidRPr="00B7580A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</w:rPr>
        <w:t>...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B7580A" w:rsidRPr="00B7580A" w:rsidRDefault="00B7580A" w:rsidP="00B7580A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Розділ 1. Літературний огляд</w:t>
      </w:r>
    </w:p>
    <w:p w:rsidR="00B7580A" w:rsidRPr="0026597B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>1.1 Інтегровані машинно-орієнтовані підходи до ідентифікації та аналізу дефектів у фотоелектричних матеріалах</w:t>
      </w:r>
    </w:p>
    <w:p w:rsidR="0026597B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1.1.1 Традиційні методи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характеризації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дефектів у сонячних елементах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1.1.2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Характеризація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дефектів в фотоелектричних матеріалах на основі традиційних методів та машинного навчання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>1.1.3 Метод електролюмінісцентної візуалізації для виявлення та класифікації дефектів в сонячних елементах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1.1.4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Характеризація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дефектів в фотоелектричних матеріалах на основі вольт-амперних характеристик та машинного навчання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>1.1.5 Застосування машинного навчання для прогнозування вольт-амперних характеристик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>1.2 Машинно-орієнтовані методи пошуку новітніх матеріалів для фотоелектричних модулів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>1.3 Застосування методів машинного навчання для прогнозування вихідної потужності фотоелектричних систем за наявності нестабільних погодних умов</w:t>
      </w:r>
    </w:p>
    <w:p w:rsidR="00B7580A" w:rsidRPr="00B7580A" w:rsidRDefault="00B7580A" w:rsidP="00B7580A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Розділ </w:t>
      </w:r>
      <w:r w:rsidRPr="00B7580A">
        <w:rPr>
          <w:rFonts w:ascii="Times New Roman" w:hAnsi="Times New Roman" w:cs="Times New Roman"/>
          <w:b/>
          <w:sz w:val="28"/>
        </w:rPr>
        <w:t>2. Структура досліджуваного сонячного елемента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2.1 Розрахункова модель кремнієвого сонячного елемента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2.2 Моделювання РМКСЕ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2.2.1 Залежності характеристик кремнію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2.2.2 Параметри залізовмісних дефектів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2.3 Моделювання вольт-амперних характеристик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2.3.1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Темнові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вольт-амперні характеристики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2.3.2 Світлові вольт-амперні характеристики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2.4 Методика експерименту та досліджувані зразки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lastRenderedPageBreak/>
        <w:t>Висновки до розділу 2</w:t>
      </w:r>
    </w:p>
    <w:p w:rsidR="00B7580A" w:rsidRPr="00B7580A" w:rsidRDefault="00B7580A" w:rsidP="00B7580A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Розділ 3. </w:t>
      </w:r>
      <w:r w:rsidRPr="00B7580A">
        <w:rPr>
          <w:rFonts w:ascii="Times New Roman" w:hAnsi="Times New Roman" w:cs="Times New Roman"/>
          <w:b/>
          <w:sz w:val="28"/>
        </w:rPr>
        <w:t>Вплив залізовмісних дефектів на характеристики та параметри фотоелектричного перетворення кремнієвих сонячних елементів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3.1 Фактор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неідеальності</w:t>
      </w:r>
      <w:proofErr w:type="spellEnd"/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 Фотоелектричні параметри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3.2.1 Струм короткого замикання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3.2.2 Напруга розімкнутого кола 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3.2.3 Фактор форми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3.2.4 Ефективність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3.2.5 Кореляція між фотоелектричними параметрами кремнієвих сонячних елементів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Висновки до розділу 3</w:t>
      </w:r>
    </w:p>
    <w:p w:rsidR="00B7580A" w:rsidRPr="00B7580A" w:rsidRDefault="00B7580A" w:rsidP="00B7580A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Розділ </w:t>
      </w:r>
      <w:r w:rsidRPr="00B7580A">
        <w:rPr>
          <w:rFonts w:ascii="Times New Roman" w:hAnsi="Times New Roman" w:cs="Times New Roman"/>
          <w:b/>
          <w:sz w:val="28"/>
        </w:rPr>
        <w:t xml:space="preserve">4. Машино-орієнтований метод оцінки концентрації заліза з використанням </w:t>
      </w:r>
      <w:proofErr w:type="spellStart"/>
      <w:r w:rsidRPr="00B7580A">
        <w:rPr>
          <w:rFonts w:ascii="Times New Roman" w:hAnsi="Times New Roman" w:cs="Times New Roman"/>
          <w:b/>
          <w:sz w:val="28"/>
        </w:rPr>
        <w:t>темнових</w:t>
      </w:r>
      <w:proofErr w:type="spellEnd"/>
      <w:r w:rsidRPr="00B7580A">
        <w:rPr>
          <w:rFonts w:ascii="Times New Roman" w:hAnsi="Times New Roman" w:cs="Times New Roman"/>
          <w:b/>
          <w:sz w:val="28"/>
        </w:rPr>
        <w:t xml:space="preserve"> ВАХ. 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4.1 Навчання та тестування глибоких нейронних мереж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4.2 Результати моделювання та аналіз точності прогнозування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4.3 «Апробація моделей на експериментальних ВАХ» або «Перевірка прогностичних можливостей ГНМ на реальних структурах»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Висновки до розділу 4</w:t>
      </w:r>
    </w:p>
    <w:p w:rsidR="00E67264" w:rsidRPr="00767DCC" w:rsidRDefault="00890CF2" w:rsidP="00B7580A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ОСНОВНІ РЕЗУЛЬТАТИ ТА </w:t>
      </w:r>
      <w:r w:rsidR="00E67264">
        <w:rPr>
          <w:rFonts w:ascii="Times New Roman" w:hAnsi="Times New Roman" w:cs="Times New Roman"/>
          <w:b/>
          <w:sz w:val="28"/>
        </w:rPr>
        <w:t>ВИСНОВКИ................</w:t>
      </w:r>
      <w:r>
        <w:rPr>
          <w:rFonts w:ascii="Times New Roman" w:hAnsi="Times New Roman" w:cs="Times New Roman"/>
          <w:b/>
          <w:sz w:val="28"/>
        </w:rPr>
        <w:t>...................</w:t>
      </w:r>
      <w:r w:rsidR="00E67264">
        <w:rPr>
          <w:rFonts w:ascii="Times New Roman" w:hAnsi="Times New Roman" w:cs="Times New Roman"/>
          <w:b/>
          <w:sz w:val="28"/>
        </w:rPr>
        <w:t>...................</w:t>
      </w:r>
      <w:r w:rsidR="00E67264" w:rsidRPr="005C50B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E67264">
        <w:rPr>
          <w:rFonts w:ascii="Times New Roman" w:hAnsi="Times New Roman" w:cs="Times New Roman"/>
          <w:b/>
          <w:sz w:val="28"/>
          <w:lang w:val="en-US"/>
        </w:rPr>
        <w:t>N</w:t>
      </w:r>
    </w:p>
    <w:p w:rsidR="00E67264" w:rsidRPr="00767DCC" w:rsidRDefault="00E67264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СПИСОК ВИКОРИСТАНИХ ДЖЕРЕЛ……………………………………….</w:t>
      </w:r>
      <w:r w:rsidRPr="00767DCC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B421A3" w:rsidRDefault="00E67264" w:rsidP="00B421A3">
      <w:pPr>
        <w:ind w:right="5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ДОДАТКИ……………………………</w:t>
      </w:r>
      <w:r w:rsidRPr="00767DCC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</w:rPr>
        <w:t>…………………………………………….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sectPr w:rsidR="001415AE" w:rsidRPr="00B421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F6F"/>
    <w:rsid w:val="00060ECF"/>
    <w:rsid w:val="00080FE0"/>
    <w:rsid w:val="000D56B5"/>
    <w:rsid w:val="001415AE"/>
    <w:rsid w:val="00202D87"/>
    <w:rsid w:val="00254552"/>
    <w:rsid w:val="0026597B"/>
    <w:rsid w:val="002929FC"/>
    <w:rsid w:val="002A6F6F"/>
    <w:rsid w:val="0034773D"/>
    <w:rsid w:val="0038070F"/>
    <w:rsid w:val="00382669"/>
    <w:rsid w:val="00384E4E"/>
    <w:rsid w:val="0040797A"/>
    <w:rsid w:val="004D725B"/>
    <w:rsid w:val="004F1FA8"/>
    <w:rsid w:val="00540F86"/>
    <w:rsid w:val="00550AA9"/>
    <w:rsid w:val="005C50B0"/>
    <w:rsid w:val="006170A5"/>
    <w:rsid w:val="006E177F"/>
    <w:rsid w:val="00767DCC"/>
    <w:rsid w:val="007B5D85"/>
    <w:rsid w:val="00805920"/>
    <w:rsid w:val="00820C99"/>
    <w:rsid w:val="00841878"/>
    <w:rsid w:val="00863CAC"/>
    <w:rsid w:val="00890CF2"/>
    <w:rsid w:val="008E2685"/>
    <w:rsid w:val="008E79B9"/>
    <w:rsid w:val="00913726"/>
    <w:rsid w:val="00941CE6"/>
    <w:rsid w:val="009D7B32"/>
    <w:rsid w:val="00A71860"/>
    <w:rsid w:val="00AD1AED"/>
    <w:rsid w:val="00AE76E5"/>
    <w:rsid w:val="00B421A3"/>
    <w:rsid w:val="00B7580A"/>
    <w:rsid w:val="00B9675E"/>
    <w:rsid w:val="00C70EBB"/>
    <w:rsid w:val="00CB7D28"/>
    <w:rsid w:val="00E5087F"/>
    <w:rsid w:val="00E67264"/>
    <w:rsid w:val="00E67691"/>
    <w:rsid w:val="00EA6EE1"/>
    <w:rsid w:val="00ED6B6E"/>
    <w:rsid w:val="00EF69CC"/>
    <w:rsid w:val="00EF7530"/>
    <w:rsid w:val="00F74502"/>
    <w:rsid w:val="00F94DF0"/>
    <w:rsid w:val="00FA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8CFD6"/>
  <w15:chartTrackingRefBased/>
  <w15:docId w15:val="{7E92FFA9-F8C0-4254-8D5B-289F1F9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5A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Олексій Завгородній</cp:lastModifiedBy>
  <cp:revision>188</cp:revision>
  <dcterms:created xsi:type="dcterms:W3CDTF">2023-09-06T22:49:00Z</dcterms:created>
  <dcterms:modified xsi:type="dcterms:W3CDTF">2025-06-25T07:25:00Z</dcterms:modified>
</cp:coreProperties>
</file>