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964"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ВІДОМОСТІ ПРО САМООЦІНЮВАННЯ ОСВІТНЬОЇ ПРОГРАМИ</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0" w:right="-45" w:firstLine="71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Відомості містять поля для відповідей на відкриті запитань двох видів: «коротке поле»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не більше 1500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символів з пробілами)  та «довге поле»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не більше 3000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символів з пробілами).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0" w:right="-45" w:firstLine="71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Кількість символів перевіряйте самі, будь ласка!</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0" w:right="-45" w:firstLine="71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Перевірте усі вказані посилання!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2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Загальні відомості</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Поля, позначені зірочками*, є обов’язковими для заповнення.</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1.Інформація про заклад вищої освіти</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966.0" w:type="dxa"/>
        <w:jc w:val="left"/>
        <w:tblInd w:w="104.0" w:type="dxa"/>
        <w:tblLayout w:type="fixed"/>
        <w:tblLook w:val="0000"/>
      </w:tblPr>
      <w:tblGrid>
        <w:gridCol w:w="3870"/>
        <w:gridCol w:w="6096"/>
        <w:tblGridChange w:id="0">
          <w:tblGrid>
            <w:gridCol w:w="3870"/>
            <w:gridCol w:w="6096"/>
          </w:tblGrid>
        </w:tblGridChange>
      </w:tblGrid>
      <w:tr>
        <w:trPr>
          <w:cantSplit w:val="0"/>
          <w:trHeight w:val="60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*Реєстраційний номер ЗВО у</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ЄДЕБО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41</w:t>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*Повна назва 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Київський національний університет імені Тараса Шевченка</w:t>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*Ідентифікаційний код 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cyan"/>
                <w:u w:val="none"/>
                <w:vertAlign w:val="baseline"/>
                <w:rtl w:val="0"/>
              </w:rPr>
              <w:t xml:space="preserve">02070944</w:t>
            </w: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*ПІБ керівника 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Бугров Володимир Анатолійович</w:t>
            </w:r>
          </w:p>
        </w:tc>
      </w:tr>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*Посилання на офіційний веб-</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cайт 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http://www.knu.ua</w:t>
            </w:r>
          </w:p>
        </w:tc>
      </w:tr>
      <w:tr>
        <w:trPr>
          <w:cantSplit w:val="0"/>
          <w:trHeight w:val="1068" w:hRule="atLeast"/>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Інформація про відокремлений структурний підрозділ (ВСП)</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(зазначається лише якщо ОП реалізується у ВСП) </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в Університеті такими тільки  є ВІКНУ і Ін-т УДО України</w:t>
            </w:r>
            <w:r w:rsidDel="00000000" w:rsidR="00000000" w:rsidRPr="00000000">
              <w:rPr>
                <w:rtl w:val="0"/>
              </w:rPr>
            </w:r>
          </w:p>
        </w:tc>
      </w:tr>
      <w:tr>
        <w:trPr>
          <w:cantSplit w:val="0"/>
          <w:trHeight w:val="60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Реєстраційний номер ВСП</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ЗВО у ЄДЕБО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Повна назва ВСПЗВО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Ідентифікаційний код ВСП 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ПІБ керівника ВСПЗВО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Посилання на офіційний веб-</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Сайт ВСПЗВО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20" w:right="97" w:firstLine="71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2.Посилання на інформацію про ЗВО (ВСПЗВО) у Реєстрі суб’єктів освітньої діяльності ЄДЕБО</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3.Загальна інформація про освітню програму, яка подається на акредитацію</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2"/>
        <w:tblW w:w="9889.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18"/>
        <w:gridCol w:w="6071"/>
        <w:tblGridChange w:id="0">
          <w:tblGrid>
            <w:gridCol w:w="3818"/>
            <w:gridCol w:w="6071"/>
          </w:tblGrid>
        </w:tblGridChange>
      </w:tblGrid>
      <w:tr>
        <w:trPr>
          <w:cantSplit w:val="0"/>
          <w:tblHeader w:val="0"/>
        </w:trPr>
        <w:tc>
          <w:tcP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освітньої програми в</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ЄДЕБО</w:t>
            </w: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*Назва ОП</w:t>
            </w: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*Реквізити рішення про</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105" w:right="1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ліцензування спеціальності на відповідному рівні вищої освіти</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*Цикл (рівень вищої освіти)</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*Галузь знань</w:t>
            </w: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*Спеціальність</w:t>
            </w: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Спеціалізація (за наявності)</w:t>
            </w: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Тут вказуються тільки ті спеціалізації, які затверджені Кабінетом міністрів України, або фігурують у наказах МОН (Умови прийому) щодо розподілу державного замовлення</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*Вид освітньої програми</w:t>
            </w: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05" w:right="3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*Вступ на освітню програму здійснюється на основі ступеня (рівня)</w:t>
            </w: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*Термін навчання на освітній</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програмі</w:t>
            </w: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*Форми здобуття освіти на ОП</w:t>
            </w: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*Структурний підрозділ</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(кафедра або інший підрозділ),</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відповідальний за реалізацію</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w:t>
            </w: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Інші навчальні структурні</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105" w:right="27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підрозділи (кафедра або інші підрозділи), залучені до</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реалізації ОП</w:t>
            </w:r>
            <w:r w:rsidDel="00000000" w:rsidR="00000000" w:rsidRPr="00000000">
              <w:rPr>
                <w:rtl w:val="0"/>
              </w:rPr>
            </w:r>
          </w:p>
        </w:tc>
        <w:tc>
          <w:tcP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*Місце(адреса) провадження</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Освітньої діяльності за ОП</w:t>
            </w: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*Освітня програма передбачає</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105" w:right="8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присвоєння професійної кваліфікації</w:t>
            </w:r>
            <w:r w:rsidDel="00000000" w:rsidR="00000000" w:rsidRPr="00000000">
              <w:rPr>
                <w:rtl w:val="0"/>
              </w:rPr>
            </w:r>
          </w:p>
        </w:tc>
        <w:tc>
          <w:tcP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both"/>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Так – якщо в освітній програмі виписані правила присвоєння  профкваліфікації</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both"/>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Ні – якщо в освітній програмі не вказано правил присвоєння  профкваліфікації</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Професійна кваліфікація, яка присвоюється за ОП (за наявності)</w:t>
            </w:r>
            <w:r w:rsidDel="00000000" w:rsidR="00000000" w:rsidRPr="00000000">
              <w:rPr>
                <w:rtl w:val="0"/>
              </w:rPr>
            </w:r>
          </w:p>
        </w:tc>
        <w:tc>
          <w:tcP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57" w:firstLine="0"/>
              <w:jc w:val="both"/>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Вказується кваліфікація, яка визначена освітньою програмою і заноситься до диплому (інженер, викладач, молодший науковий співробітник тощо). Якщо програма передбачає присвоєння різних профкваліфікацій за різними вибірковими блоками то про це слід однозначно вказати</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*Мова(мови) викладання</w:t>
            </w:r>
            <w:r w:rsidDel="00000000" w:rsidR="00000000" w:rsidRPr="00000000">
              <w:rPr>
                <w:rtl w:val="0"/>
              </w:rPr>
            </w:r>
          </w:p>
        </w:tc>
        <w:tc>
          <w:tcP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гаранта ОП у ЄДЕБО</w:t>
            </w: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*ПІБ гаранта ОП</w:t>
            </w: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*Посада гаранта ОП</w:t>
            </w: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*Корпоративна електронна</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адреса гаранта ОП</w:t>
            </w:r>
            <w:r w:rsidDel="00000000" w:rsidR="00000000" w:rsidRPr="00000000">
              <w:rPr>
                <w:rtl w:val="0"/>
              </w:rPr>
            </w:r>
          </w:p>
        </w:tc>
        <w:tc>
          <w:tcP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*Контактний телефон гаранта</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w:t>
            </w:r>
            <w:r w:rsidDel="00000000" w:rsidR="00000000" w:rsidRPr="00000000">
              <w:rPr>
                <w:rtl w:val="0"/>
              </w:rPr>
            </w:r>
          </w:p>
        </w:tc>
        <w:tc>
          <w:tcP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Додатковий контактний</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телефон гаранта ОП</w:t>
            </w: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*4.Загальні відомості про ОП, історію її розроблення та впровадження</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11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16"/>
        <w:tblGridChange w:id="0">
          <w:tblGrid>
            <w:gridCol w:w="10116"/>
          </w:tblGrid>
        </w:tblGridChange>
      </w:tblGrid>
      <w:tr>
        <w:trPr>
          <w:cantSplit w:val="0"/>
          <w:tblHeader w:val="0"/>
        </w:trPr>
        <w:tc>
          <w:tcP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Крім загальних відомості про ОП, історію її розроблення та впровадження, саме тут слід вказати про існування кількох редакцій програми і планів, якщо такі були, і вказати причини змін (затвердження стандартів, рекомендації стейкхолдерів тощо)</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 w:line="240" w:lineRule="auto"/>
              <w:ind w:left="0" w:right="-20" w:firstLine="0"/>
              <w:jc w:val="both"/>
              <w:rPr>
                <w:rFonts w:ascii="Calibri" w:cs="Calibri" w:eastAsia="Calibri" w:hAnsi="Calibri"/>
                <w:b w:val="0"/>
                <w:i w:val="0"/>
                <w:smallCaps w:val="0"/>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Застереження: </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немає можливості показати нормально оформлені документи за програмою (опис програми, навчальний план із узгодженими датами: спочатку програма, потім план, потім набір) то краще нічого не писати</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 w:line="240" w:lineRule="auto"/>
              <w:ind w:left="0" w:right="-2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*5.Інформація про контингент здобувачів вищої освіти на ОП станом на 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жовтня поточного навчального року та набір на ОП</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911.0" w:type="dxa"/>
        <w:jc w:val="left"/>
        <w:tblInd w:w="104.0" w:type="dxa"/>
        <w:tblLayout w:type="fixed"/>
        <w:tblLook w:val="0000"/>
      </w:tblPr>
      <w:tblGrid>
        <w:gridCol w:w="3486"/>
        <w:gridCol w:w="1561"/>
        <w:gridCol w:w="1628"/>
        <w:gridCol w:w="1618"/>
        <w:gridCol w:w="1618"/>
        <w:tblGridChange w:id="0">
          <w:tblGrid>
            <w:gridCol w:w="3486"/>
            <w:gridCol w:w="1561"/>
            <w:gridCol w:w="1628"/>
            <w:gridCol w:w="1618"/>
            <w:gridCol w:w="1618"/>
          </w:tblGrid>
        </w:tblGridChange>
      </w:tblGrid>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55" w:right="113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Рік 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3"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рік 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86"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рік 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86"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рік 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87"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рік навчання</w:t>
            </w:r>
            <w:r w:rsidDel="00000000" w:rsidR="00000000" w:rsidRPr="00000000">
              <w:rPr>
                <w:rtl w:val="0"/>
              </w:rPr>
            </w:r>
          </w:p>
        </w:tc>
      </w:tr>
      <w:tr>
        <w:trPr>
          <w:cantSplit w:val="0"/>
          <w:trHeight w:val="70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1.Навчальний рік, у якому відбувся</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3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набір здобувачів відповідного року 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2.Обсяг набору на ОП у</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відповідному навчальному році</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Контингент студентів: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3.1.очнаформанавчання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заочна форма 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У т.ч. іноземців: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4.1.очнаформанавчання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заочна форма 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4686"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7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 занесенні даних по програмам на яких навчаються іноземні громадяни за перший рік навчання слід вказувати дані станом на 1 листопада (термін завершення зарахування).</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0" w:right="77" w:firstLine="71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Кількість стовпців таблиці змінюється залежно від строку навчання на освітній програмі.</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9" w:lineRule="auto"/>
        <w:ind w:left="0" w:right="77" w:firstLine="71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Якщо за ОП здійснюється навчання за іншими формами навчання, додається відповідна кількість рядків у графи 3 і 4.</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9" w:lineRule="auto"/>
        <w:ind w:left="0" w:right="468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*6.Інформація про інші освітні програми ЗВО за відповідною спеціальністю:</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(зазначається ID програму ЄДЕБО і їх назва)</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911.0" w:type="dxa"/>
        <w:jc w:val="left"/>
        <w:tblInd w:w="104.0" w:type="dxa"/>
        <w:tblLayout w:type="fixed"/>
        <w:tblLook w:val="0000"/>
      </w:tblPr>
      <w:tblGrid>
        <w:gridCol w:w="3729"/>
        <w:gridCol w:w="6182"/>
        <w:tblGridChange w:id="0">
          <w:tblGrid>
            <w:gridCol w:w="3729"/>
            <w:gridCol w:w="6182"/>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8"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Рівень вищої освіти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852"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Інформація про освітні програми</w:t>
            </w:r>
            <w:r w:rsidDel="00000000" w:rsidR="00000000" w:rsidRPr="00000000">
              <w:rPr>
                <w:rtl w:val="0"/>
              </w:rPr>
            </w:r>
          </w:p>
        </w:tc>
      </w:tr>
      <w:tr>
        <w:trPr>
          <w:cantSplit w:val="0"/>
          <w:trHeight w:val="65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Початковий рівень (короткий цикл) вищої освіти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Ця інформація «підтягується» з ЄДЕБО</w:t>
            </w:r>
            <w:r w:rsidDel="00000000" w:rsidR="00000000" w:rsidRPr="00000000">
              <w:rPr>
                <w:rtl w:val="0"/>
              </w:rPr>
            </w:r>
          </w:p>
        </w:tc>
      </w:tr>
      <w:tr>
        <w:trPr>
          <w:cantSplit w:val="0"/>
          <w:trHeight w:val="7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Перший (бакалаврський)</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рівень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Другий (магістерський)</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рівень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tl w:val="0"/>
              </w:rPr>
            </w:r>
          </w:p>
        </w:tc>
      </w:tr>
      <w:tr>
        <w:trPr>
          <w:cantSplit w:val="0"/>
          <w:trHeight w:val="719"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Третій (освітньо-науковий/ освітньо-творчий)рівень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0" w:right="170" w:firstLine="14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0" w:right="170" w:firstLine="14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Інформація про площі ЗВО,  станом на момент подання відомостей про самооцінювання, кв.м.</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0" w:right="170" w:firstLine="14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6"/>
        <w:tblW w:w="100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6"/>
        <w:gridCol w:w="3396"/>
        <w:gridCol w:w="3239"/>
        <w:tblGridChange w:id="0">
          <w:tblGrid>
            <w:gridCol w:w="3396"/>
            <w:gridCol w:w="3396"/>
            <w:gridCol w:w="3239"/>
          </w:tblGrid>
        </w:tblGridChange>
      </w:tblGrid>
      <w:tr>
        <w:trPr>
          <w:cantSplit w:val="0"/>
          <w:tblHeader w:val="0"/>
        </w:trPr>
        <w:tc>
          <w:tcP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2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Загальна площа</w:t>
            </w:r>
            <w:r w:rsidDel="00000000" w:rsidR="00000000" w:rsidRPr="00000000">
              <w:rPr>
                <w:rtl w:val="0"/>
              </w:rPr>
            </w:r>
          </w:p>
        </w:tc>
        <w:tc>
          <w:tcP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52"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Навчальна площа</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Усі приміщення ЗВО</w:t>
            </w: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542665,22</w:t>
            </w: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67681,03</w:t>
            </w:r>
            <w:r w:rsidDel="00000000" w:rsidR="00000000" w:rsidRPr="00000000">
              <w:rPr>
                <w:rtl w:val="0"/>
              </w:rPr>
            </w:r>
          </w:p>
        </w:tc>
      </w:tr>
      <w:tr>
        <w:trPr>
          <w:cantSplit w:val="0"/>
          <w:trHeight w:val="706" w:hRule="atLeast"/>
          <w:tblHeader w:val="0"/>
        </w:trPr>
        <w:tc>
          <w:tcP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40"/>
                <w:tab w:val="left" w:pos="2600"/>
              </w:tabs>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Власні</w:t>
              <w:tab/>
              <w:t xml:space="preserve">приміщення</w:t>
              <w:tab/>
              <w:t xml:space="preserve">ЗВО (на праві власності, господарського відання або оперативного управління)</w:t>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542665,22</w:t>
            </w:r>
            <w:r w:rsidDel="00000000" w:rsidR="00000000" w:rsidRPr="00000000">
              <w:rPr>
                <w:rtl w:val="0"/>
              </w:rPr>
            </w:r>
          </w:p>
        </w:tc>
        <w:tc>
          <w:tcP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67681,03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80"/>
              </w:tabs>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Приміщення, які використовуються на іншому праві, аніж право</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власності, господарського</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00"/>
              </w:tabs>
              <w:spacing w:after="0" w:before="3" w:line="259" w:lineRule="auto"/>
              <w:ind w:left="0" w:right="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відання або оперативного  управління (оренда, безоплатне користування тощо) </w:t>
            </w:r>
            <w:r w:rsidDel="00000000" w:rsidR="00000000" w:rsidRPr="00000000">
              <w:rPr>
                <w:rtl w:val="0"/>
              </w:rPr>
            </w:r>
          </w:p>
        </w:tc>
        <w:tc>
          <w:tcP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tl w:val="0"/>
              </w:rPr>
            </w:r>
          </w:p>
        </w:tc>
        <w:tc>
          <w:tcP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00"/>
                <w:tab w:val="left" w:pos="2980"/>
              </w:tabs>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Приміщення,</w:t>
              <w:tab/>
              <w:t xml:space="preserve">здані</w:t>
              <w:tab/>
              <w:t xml:space="preserve">в</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оренду</w:t>
            </w:r>
            <w:r w:rsidDel="00000000" w:rsidR="00000000" w:rsidRPr="00000000">
              <w:rPr>
                <w:rtl w:val="0"/>
              </w:rPr>
            </w:r>
          </w:p>
        </w:tc>
        <w:tc>
          <w:tcP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2485,33</w:t>
            </w:r>
            <w:r w:rsidDel="00000000" w:rsidR="00000000" w:rsidRPr="00000000">
              <w:rPr>
                <w:rtl w:val="0"/>
              </w:rPr>
            </w:r>
          </w:p>
        </w:tc>
        <w:tc>
          <w:tcP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259" w:lineRule="auto"/>
        <w:ind w:left="0" w:right="170" w:firstLine="142"/>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259" w:lineRule="auto"/>
        <w:ind w:left="0" w:right="170" w:firstLine="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 w:line="240" w:lineRule="auto"/>
        <w:ind w:left="220" w:right="-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22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Примітка.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Для ЗВО із ВСП інформація зазначається:</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0"/>
        </w:tabs>
        <w:spacing w:after="0" w:before="6" w:line="240" w:lineRule="auto"/>
        <w:ind w:left="58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sset" w:cs="Asset" w:eastAsia="Asset" w:hAnsi="Asset"/>
          <w:b w:val="0"/>
          <w:i w:val="0"/>
          <w:smallCaps w:val="0"/>
          <w:strike w:val="0"/>
          <w:color w:val="000000"/>
          <w:sz w:val="26"/>
          <w:szCs w:val="26"/>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щодо ОП, яка реалізується у базовому ЗВО – без урахування приміщень ВСП;</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0"/>
        </w:tabs>
        <w:spacing w:after="0" w:before="0" w:line="240" w:lineRule="auto"/>
        <w:ind w:left="58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sset" w:cs="Asset" w:eastAsia="Asset" w:hAnsi="Asset"/>
          <w:b w:val="0"/>
          <w:i w:val="0"/>
          <w:smallCaps w:val="0"/>
          <w:strike w:val="0"/>
          <w:color w:val="000000"/>
          <w:sz w:val="26"/>
          <w:szCs w:val="26"/>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щодо ОП, яка реалізується у ВСП – лише щодо приміщень даного ВСП.</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9"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Поля для завантаження документів щодо ОП:</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695.0" w:type="dxa"/>
        <w:jc w:val="left"/>
        <w:tblInd w:w="104.0" w:type="dxa"/>
        <w:tblLayout w:type="fixed"/>
        <w:tblLook w:val="0000"/>
      </w:tblPr>
      <w:tblGrid>
        <w:gridCol w:w="7087"/>
        <w:gridCol w:w="2608"/>
        <w:tblGridChange w:id="0">
          <w:tblGrid>
            <w:gridCol w:w="7087"/>
            <w:gridCol w:w="2608"/>
          </w:tblGrid>
        </w:tblGridChange>
      </w:tblGrid>
      <w:tr>
        <w:trPr>
          <w:cantSplit w:val="0"/>
          <w:trHeight w:val="9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41" w:right="232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Назва документа(ів)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66" w:right="752"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Поле для</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447" w:right="4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завантаження документів</w:t>
            </w: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*Освітня програма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*Навчальний план за ОП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Рецензії та відгуки роботодавців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9" w:lineRule="auto"/>
        <w:ind w:left="0" w:right="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Документам, які завантажуються слід дати чіткі і зрозумілі назви.</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0" w:right="49" w:firstLine="71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9.Інформація про наявність в акредитаційній справі інформації з обмеженим доступом</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Справа містить інформацію з обмеженим доступом–так/ні</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64" w:firstLine="71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Зазначте, які частини відомостей про самооцінювання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64" w:firstLine="71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8"/>
        <w:tblW w:w="100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7"/>
        <w:gridCol w:w="2547"/>
        <w:gridCol w:w="2547"/>
        <w:gridCol w:w="2390"/>
        <w:tblGridChange w:id="0">
          <w:tblGrid>
            <w:gridCol w:w="2547"/>
            <w:gridCol w:w="2547"/>
            <w:gridCol w:w="2547"/>
            <w:gridCol w:w="2390"/>
          </w:tblGrid>
        </w:tblGridChange>
      </w:tblGrid>
      <w:tr>
        <w:trPr>
          <w:cantSplit w:val="0"/>
          <w:trHeight w:val="1611" w:hRule="atLeast"/>
          <w:tblHeader w:val="0"/>
        </w:trPr>
        <w:tc>
          <w:tcP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8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Частина відомостей</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8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 самооцінювання,</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8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яка містить інформацію з обмеженим доступом</w:t>
            </w:r>
          </w:p>
        </w:tc>
        <w:tc>
          <w:tcP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 w:right="-2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Вид інформації з</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 w:right="-2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обмеженим</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 w:right="164"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доступом</w:t>
            </w:r>
          </w:p>
        </w:tc>
        <w:tc>
          <w:tcP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Опис інформації,</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доступ до якої</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164"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обмежений</w:t>
            </w:r>
          </w:p>
        </w:tc>
        <w:tc>
          <w:tcP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Підстава для</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обмеження доступу</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 w:right="164"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 інформації</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64" w:firstLine="71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9"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0" w:right="49"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Основним документом, яким слід керуватися при заповненні наступних розділів є: «Порадник щодо заповнення відомостей самооцінювання освітньої програми (для закладів вищої освіти)»</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0" w:right="49"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7">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https://naqa.gov.ua/wp-content/uploads/2019/11/порадник_121119.pdf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0" w:right="49"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Рекомендації КНУТШ є допоміжними до зазначеного документу.</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0" w:right="49"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0" w:right="49" w:firstLine="0"/>
        <w:jc w:val="both"/>
        <w:rPr>
          <w:rFonts w:ascii="Times New Roman" w:cs="Times New Roman" w:eastAsia="Times New Roman" w:hAnsi="Times New Roman"/>
          <w:b w:val="0"/>
          <w:i w:val="0"/>
          <w:smallCaps w:val="0"/>
          <w:strike w:val="0"/>
          <w:color w:val="002060"/>
          <w:sz w:val="26"/>
          <w:szCs w:val="26"/>
          <w:highlight w:val="cyan"/>
          <w:u w:val="singl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Також як додаткові документи за потреби можна використовувати “Рекомендації щодо застосування критеріїв оцінювання якості освітньої програми” </w:t>
      </w:r>
      <w:hyperlink r:id="rId8">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https://naqa.gov.ua/wp-content/uploads/2020/12/Рекомендації-щодо-застосування-критеріїв-оцінювання-якості-ОП.pdf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а для програм PHD ще додатково: «Рекомендації для експертів Національного агентства стосовно акредитації освітніх програм третього рівня вищої освіти (додаток до “Методичних рекомендацій для експертів Національного агентства щодо застосування Критеріїв оцінювання якості освітньої програми")» </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https://naqa.gov.ua/wp-content/uploads/2020/02/Рекомендації-стосовно-акредитації-PhD-програм.pdf</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Проектування та цілі освітньої програми</w:t>
      </w:r>
      <w:r w:rsidDel="00000000" w:rsidR="00000000" w:rsidRPr="00000000">
        <w:rPr>
          <w:rtl w:val="0"/>
        </w:rPr>
      </w:r>
    </w:p>
    <w:tbl>
      <w:tblPr>
        <w:tblStyle w:val="Table9"/>
        <w:tblW w:w="9639.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cantSplit w:val="0"/>
          <w:trHeight w:val="2320" w:hRule="atLeast"/>
          <w:tblHeader w:val="0"/>
        </w:trPr>
        <w:tc>
          <w:tcP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Якими є цілі ОП? У чому полягають особливості (унікальність) цієї програми?</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У відповіді на ці питання мають бути вказані не лише особливості програми, але й визначена її унікальність відносно інших програм Університету цього ж рівня за відповідною спеціальністю (перелік вказано вище, в загальних відомостях, п.6) та інших ЗВО</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у факультету/інституту є власні місія і стратегія, то на них також можна посилатися.</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із посиланням на конкретні документи ЗВО, що цілі ОП</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відповідають місії та стратегії ЗВО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коротке поле</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6"/>
                <w:szCs w:val="26"/>
                <w:highlight w:val="red"/>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Обґрунтування доцільно обирати зі Стратегії Університету, яка розміщена за посиланням: </w:t>
            </w:r>
            <w:hyperlink r:id="rId10">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https://knu.ua/pdfs/official/Development-strategic-plan.pdf</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інтереси та пропозиції таких груп заінтересованих сторін</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(стейкхолдерів) були враховані під час формулювання цілей та програмних</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результатів навчання ОП:</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-здобувачі вищої освіти та випускники програми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-роботодавці коротке поле</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-академічна спільнота коротке поле</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-інші стейкхолдери коротке поле</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Має бути наведено інформацію про залучення відповідних стейкхолдерів саме ДО ПРОЦЕСУ РОЗРОБЛЕННЯ програми (інформація про залучення стейкхолдерів під час реалізації ОП наводиться в інших розділах).  Необхідно навести інформацію про те як саме збирались, вивчались і враховувались думки стейкхолдерів ПРИ ФОРМУЛЮВАННІ ЦІЛЕЙ освітньої програми та відповідних ПРОГРАМНИХ РЕЗУЛЬТАТІВ НАВЧАННЯ (змістове наповнення ОП, а також вивчення думок стейкхолдерів щодо змістового та організаційного наповнення ОП, розглядатиметься у наступних розділах). </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Думки стейкхолдерів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стейкхолдерами відгуків або рецензій на освітню програму,  шляхом аналізу результатів опитуваннь у яких стейкхолдери брали участь тощо.</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Залучення стейкхолдерів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стейкхолдерами під час зустрічей з членами ЕГ.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цілі та програмні результати навчання ОП відбивають тенденції розвитку спеціальності та ринку праці</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Опишіть, яким чином були визначені основні тенденції розвитку спеціальності та ринку праці, і як вони відображені у формулюваннях цілей і ПРН ОП.</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під час формулювання цілей та програмних результатів навчання ОП було враховано галузевий та регіональний контекст</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 даному випадку мова не про галузь знань, а про вид економічної діяльності)</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Зверніть увагу, що галузевий (відповідну сферу економічної діяльності) та регіональний контекст має бути відображений саме у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цілях</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та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ПРН</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ОП. У відповіді не треба наводити приклади із назвами освітніх компонентів. Крім того, прикладом врахування регіонального контексту в ОП розташування КНУТШ у м.Києві, де є велика кількість потенційних підприємств для працевлаштування, не може бути доречним. Адже у визначених цілях та ПРН ОП Ви не зазначаєте про спроможність випускників працювати тільки у м.Києві, у більшості випадків – випускники мають бути готовими застосовувати свої знання, вміння на всій території України, а деякі ОП декларують спроможність випускників бути конкурентними на світовому ринку праці. Тобто має бути аргументовано/показано або те, якими чином дана програма враховує регіональний аспект, або те чому і як саме (мають бути наведены докази) програма зорієнтована не на регіональні інтереси, а на загальнодержавні чи більше.</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К</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оротке поле </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досвід яких освітніх програм (вказуються назви ЗВО і програм) було досліджено і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ЩО САМЕ З ПРАКТИКИ ІНШИХ ЗВО БУЛО ВРАХОВАНО</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під час розроблення освітньої програми, зокрема при формулювання цілей та програмних результатів навчання.</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Д</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овге поле</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3" w:firstLine="0"/>
              <w:jc w:val="both"/>
              <w:rPr>
                <w:rFonts w:ascii="Calibri" w:cs="Calibri" w:eastAsia="Calibri" w:hAnsi="Calibri"/>
                <w:b w:val="0"/>
                <w:i w:val="0"/>
                <w:smallCaps w:val="0"/>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Треба показати як досягаються результати навчання визначені стандартом (хоча б у варіанті співставлення мети і цілей програми з предметною областю стандарту, співставлення компетентностей і РН  і  посилання на матриці відповідності).</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3"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затверджений стандарт відсутній – слід про це вказати і більш нічого тут не писати.</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НЕ МОЖНА ПЛУТАТИ СТАНДАРТИ ВИЩОЇ ОСВІТИ ЗА ВІДПОВІДНОЮ СПЕЦІАЛЬНІСТЮ ІЗ  ГАЛУЗЕВИМИ СТАНДАРТАМИ (Наприклад 6., 7., 8.), які наразі втратили чинність)!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Заповнюється якщо стандарту на момент формування програми затверджено не було. В цьому разі треба вказати ЯКІ дескриптори ЯКОГО рівня Національної рамки кваліфікацій були враховані при визначенні кожного з результатів навчання програми. </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Доречно буде послатися також на Методичні рекомендації щодо розроблення стандартів вищої освіти (МОН):</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11">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https://mon.gov.ua/ua/npa/pro-unesennya-zmin-do-metodichnih-rekomendacij-shodo-rozroblennya-standartiv-vishoyi-osviti-1</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Крім того варто вказати чим розробники керувалися при визначенні предметної області програми, фахових компетентностей і результатів навчання.</w:t>
            </w:r>
            <w:r w:rsidDel="00000000" w:rsidR="00000000" w:rsidRPr="00000000">
              <w:rPr>
                <w:rtl w:val="0"/>
              </w:rPr>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927" w:right="-2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Структура та зміст освітньої програми</w:t>
      </w:r>
      <w:r w:rsidDel="00000000" w:rsidR="00000000" w:rsidRPr="00000000">
        <w:rPr>
          <w:rtl w:val="0"/>
        </w:rPr>
      </w:r>
    </w:p>
    <w:tbl>
      <w:tblPr>
        <w:tblStyle w:val="Table10"/>
        <w:tblW w:w="9690.0" w:type="dxa"/>
        <w:jc w:val="left"/>
        <w:tblInd w:w="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0"/>
        <w:gridCol w:w="3240"/>
        <w:tblGridChange w:id="0">
          <w:tblGrid>
            <w:gridCol w:w="6450"/>
            <w:gridCol w:w="3240"/>
          </w:tblGrid>
        </w:tblGridChange>
      </w:tblGrid>
      <w:tr>
        <w:trPr>
          <w:cantSplit w:val="0"/>
          <w:tblHeader w:val="0"/>
        </w:trPr>
        <w:tc>
          <w:tcP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є обсяг ОП (у кредитах ЄКТС)?</w:t>
            </w:r>
            <w:r w:rsidDel="00000000" w:rsidR="00000000" w:rsidRPr="00000000">
              <w:rPr>
                <w:rtl w:val="0"/>
              </w:rPr>
            </w:r>
          </w:p>
        </w:tc>
        <w:tc>
          <w:tcP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84" w:right="1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Яким є обсяг освітніх компонентів (у кредитах</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1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ЄКТС), спрямованих на формування компетентностей, визначених стандартом вищої освіти за відповідною спеціальністю та рівнем вищої освіти (за наявності)?</w:t>
            </w:r>
          </w:p>
        </w:tc>
        <w:tc>
          <w:tcP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Якщо стандарт не затверджено вкажіть кількість кредитів обов’язкової частини ОП</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84" w:right="1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Який обсяг (у кредитах ЄКТС) відводиться на</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1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дисципліни за вибором здобувачів вищої освіти?</w:t>
            </w:r>
          </w:p>
        </w:tc>
        <w:tc>
          <w:tcP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Дані беруться з опису освітньої програми. Відповідно до законодавства вільний вибір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не може бути МЕНШИМ ніж 25%</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 Для ОП ОР бакалавр (загальний обсяг програми 240 кредитів) не менше ніж 60 кредитів, для освітньо-професійних програм ОР магістр (загальний обсяг програми 90 кредитів) не менше ніж 23 кредити, для освітньо- наукових програм ОР магістр (загальний обсяг програми 120 кредитів) не менше ніж 30 кредитів. </w:t>
            </w:r>
          </w:p>
        </w:tc>
      </w:tr>
      <w:tr>
        <w:trPr>
          <w:cantSplit w:val="0"/>
          <w:tblHeader w:val="0"/>
        </w:trPr>
        <w:tc>
          <w:tcPr>
            <w:gridSpan w:val="2"/>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465"/>
              </w:tabs>
              <w:spacing w:after="0" w:before="0" w:line="259" w:lineRule="auto"/>
              <w:ind w:left="284" w:right="1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Предметна область спеціальності не залежить від рівня освіти – тому слід продемонструвати відповідність предметній області вказаної у затвердженому  стандарті будь якого рівня. Якщо програма є міждисциплінарною, наприклад  – підготовка вчителів математики за спеціальністю математика, то слід вказати відповідність предметним областям математики і середньої освіти.</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Демонстрація відповідності має бути послідовною і внутрішньо логічною – від предметної області, до компетентностей і результатів навчання. Якщо якісь фахові компетентності чи РН змінено слід продемонструвати що всі цілі стандарту все одно досягнуто.</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здобувачам вищої освіти забезпечена можливість формування</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Індивідуальної освітньої траєкторії?</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здобувач має право на вільний вибір дисциплін, має право ініціювати угоду з конкретним місцем виробничої практики, має право на академічну мобільність, а також бере участь у визначенні теми кваліфікаційної роботи, дисертаційного дослідження тощо. Це відбувається згідно процедури 3.7. Положення про систему забезпечення якості освіти та освітнього процесу в Київському національному університеті імені Тараса Шевченка:</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12">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https://knu.ua/pdfs/official/Quality-assurance-system-of-education-and-educational-process.pdf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 2020 року діяло Положення про порядок реалізації студентами Київського національного університету імені Тараса Шевченка права на вільний вибір дисциплін: </w:t>
            </w:r>
            <w:hyperlink r:id="rId13">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http://nmc.knu.ua/docs/Poriadok%20vyboru%20dyscyplin%20(03_12_2018).PDF</w:t>
              </w:r>
            </w:hyperlink>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1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здобувачі вищої освіти можуть реалізувати своє право на вибір навчальних дисциплін?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Вказується які можливості вибору дисциплін студент має в межах даної освітньої програми (вибіркові блоки, вибір з переліку тощо), а також про можливість обирати дисципліни з інших програм і факультетів. Коротко описується процедура вибору дисциплін (яким чином і у які терміни), яка зазначена у відповідному положенні.</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Вказується яка практика/практики передбачені освітньою програмою, що саме вона забезпечує (набуття яких компетентностей, програмних результатів навчання для присвоєння професійної кваліфікації, навичок для роботи за фахом тощо). </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Організація практики в Університеті регулюється такими документами:</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gjdgxs" w:id="0"/>
            <w:bookmarkEnd w:id="0"/>
            <w:hyperlink r:id="rId14">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КНУТШ</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(п.4.5):</w:t>
            </w:r>
            <w:r w:rsidDel="00000000" w:rsidR="00000000" w:rsidRPr="00000000">
              <w:rPr>
                <w:rFonts w:ascii="Times New Roman" w:cs="Times New Roman" w:eastAsia="Times New Roman" w:hAnsi="Times New Roman"/>
                <w:b w:val="0"/>
                <w:i w:val="1"/>
                <w:smallCaps w:val="0"/>
                <w:strike w:val="0"/>
                <w:color w:val="0000ff"/>
                <w:sz w:val="26"/>
                <w:szCs w:val="26"/>
                <w:highlight w:val="cyan"/>
                <w:u w:val="none"/>
                <w:vertAlign w:val="baseline"/>
                <w:rtl w:val="0"/>
              </w:rPr>
              <w:t xml:space="preserve">  </w:t>
            </w:r>
            <w:hyperlink r:id="rId15">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або порядок проведення практики на відповідному факультеті/інституті</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асистентську педагогічну практику аспірантів/ад'юнктів КНУТШ: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https://asp.knu.ua/doc/OND/Pedagogical_practice_2020.pdf</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що ОП дозволяє забезпечити набуття здобувачами вищої освіти соціальних навичок (soft skills) упродовж періоду навчання, які відповідають цілям та результатам навчання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Зазначаються не тільки дисципліни “соціогуманітарного” спрямування, за допомогою яких набуваються soft skills, а й ті фахові дисципліни, які забезпечують формування відповідних загальних компетентностей (підприємливість, вміння вирішувати конфлікти, креативність тощо) – але, звісно, не треба вказувати всі дисципліни програми.</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зміст ОП ураховує вимоги відповідного професійного стандарту?</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84" w:right="1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 переважній більшості випадків професійні  стандарти в Україні знаходяться на етапі затвердження. Якщо відповідний  професійний стандарт не затверджено (слід перевірити на сайті Міністерства економіки: </w:t>
            </w:r>
            <w:hyperlink r:id="rId1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https://www.me.gov.ua/Documents/Detail?lang=uk-UA&amp;id=22469103-4e36-4d41-b1bf-288338b3c7fa&amp;title=RestrProfesiinikhStandartiv</w:t>
              </w:r>
            </w:hyperlink>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необхідно про це вказати. </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 умови присвоєння здобувачам освітньої програми професійної кваліфікації та відсутності відповідного професійного стандарту доцільно послатись на кваліфікаційні характеристики працівників (ЦЕ НЕ НАЗВИ професій з ДКП003:2010, а додатки до нього з описом вимог і трудових функцій!!!) і описати, як вони враховуються.</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при розробленні освітньої програми враховувався відповідний міжнародний професійний стандарт доцільно це зазначити.</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9" w:lineRule="auto"/>
              <w:ind w:left="0" w:right="-2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НЕ МОЖНА ПЛУТАТИ ПРОФЕСІЙНІ СТАНДАРТИ ІЗ СТАНДАРТАМИ ВИЩОЇ ОСВІТИ ЗА ВІДПОВІДНОЮ СПЕЦІАЛЬНІСТЮ  </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Який підхід використовує ЗВО для співвіднесення обсягу окремих освітніх</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компонентів ОП (у кредитах ЄКТС) із фактичним навантаженням здобувачів вищої освіти (включно із самостійною роботою)?</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ff"/>
                <w:sz w:val="26"/>
                <w:szCs w:val="26"/>
                <w:highlight w:val="cyan"/>
                <w:u w:val="singl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Тут слід описати як саме кредитний обсяг дисциплін (загальний обсяг часу що, як вбачається, необхідний середньому студенту для опанування дисципліни) визначається за колегіальною експертною оцінкою укладачів і перевіряється при погодженні програми НМК, вченими радами факультетів/інститутів і зовнішніми рецензентами. Студенти беруть в цьому участь як члени НМК і вчених рад,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враховуються</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також (не виконуються, а саме враховуються)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результати опитування</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здобувачів</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Розподіл часу між заняттями і самостійною роботою здійснюється тим же способом, з урахуванням норм Положення про організацію освітнього процесу у КНУТШ (зростання частки самостійної роботи в процесі навчання):  </w:t>
            </w:r>
            <w:hyperlink r:id="rId1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проводились дослідження (опитування здобувачів) щодо навантаження/ перевантаження, співвіднесення видів навчальних занять, то варто вказати їх результати. </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Програма за дуальною формою освіти в Університеті тільки одна (на економічному факультеті) ще кілька програм можуть бути ідентифіковані як такі, що мають елементи дуальної форми здобуття освіти (переважно ФКНК та Економічний факультет). Не треба плутати дуальну форму з практикою. Відсутність дуальної форми не є недоліком програми.</w:t>
            </w:r>
            <w:r w:rsidDel="00000000" w:rsidR="00000000" w:rsidRPr="00000000">
              <w:rPr>
                <w:rtl w:val="0"/>
              </w:rPr>
            </w:r>
          </w:p>
        </w:tc>
      </w:tr>
    </w:tb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Доступ до освітньої програми та визнання результатів навчання</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1"/>
        <w:tblW w:w="9497.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0"/>
        <w:gridCol w:w="3827"/>
        <w:tblGridChange w:id="0">
          <w:tblGrid>
            <w:gridCol w:w="5670"/>
            <w:gridCol w:w="3827"/>
          </w:tblGrid>
        </w:tblGridChange>
      </w:tblGrid>
      <w:tr>
        <w:trPr>
          <w:cantSplit w:val="0"/>
          <w:tblHeader w:val="0"/>
        </w:trPr>
        <w:tc>
          <w:tcP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Наведіть посилання на веб-сторінку, яка містить</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Інформацію про правила прийому на навчання та вимоги до вступників ОП</w:t>
            </w:r>
          </w:p>
        </w:tc>
        <w:tc>
          <w:tcP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hyperlink r:id="rId18">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https://vstup.knu.ua/</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Поясніть, як правила прийому на навчання та вимоги до вступників ураховують особливості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Додатково вказуються специфічні сертифікати, іспити, та їх вагові коефіцієнти обрані для вступних випробувань для задоволення специфіки програми, якщо такі є</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0" w:right="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Вказуються наступні документи:</w:t>
            </w: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КНУТШ від 11.04.2022 р. (зокрема Розділ 7 та Розділ 11):  </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ff"/>
                <w:sz w:val="26"/>
                <w:szCs w:val="26"/>
                <w:highlight w:val="cyan"/>
                <w:u w:val="single"/>
                <w:vertAlign w:val="baseline"/>
              </w:rPr>
            </w:pPr>
            <w:hyperlink r:id="rId1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порядок реалізації права на академічну мобільність КНУТШ від 29.06.2016 р.: </w:t>
            </w:r>
            <w:hyperlink r:id="rId20">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https://mobility.knu.ua/?page_id=804&amp;lang=uk</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23"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ПОРЯДОК поновлення та переведення здобувачів вищої освіти (студентів, слухачів, курсантів) у КНУТШ визначається:  </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21">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http://vstup.univ.kiev.ua/userfiles/files/instruction.pdf</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порядок перезарахування результатів навчання у КНУТШ: </w:t>
            </w:r>
            <w:hyperlink r:id="rId22">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http://mobility.univ.kiev.ua/?page_id=798&amp;lang=uk</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23"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Наказ Ректора від 12.07.2016 року за №603-22 "Про затвердження Порядку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hyperlink r:id="rId23">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http://nmc.univ.kiev.ua/docs/Nakaz_atestaciya_PK_2016.jpg</w:t>
              </w:r>
            </w:hyperlink>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q00ts4a8zze2" w:id="1"/>
            <w:bookmarkEnd w:id="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на конкретних прикладах практику застосування вказаних правил на відповідній ОП (якщо такі були)?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br w:type="textWrapping"/>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Приклади наводяться за даною освітньою програмою (або за освітньою програмою яка їй передувала), якщо здобувачі скористалися правом на внутрішню та/або зовнішню мобільність.</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Для загальної інформації:</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Згідно Закону України «Про освіту» (ст.8, п.5) «Результати навчання, здобуті шляхом неформальної та/або інформальної освіти, визнаються в системі формальної освіти в порядку, визначеному законодавством» (</w:t>
            </w:r>
            <w:hyperlink r:id="rId24">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http://surl.li/ixnq</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highlight w:val="cyan"/>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Крім того, згідно ст.38 цього Закону органом, який «формує вимоги до визнання результатів неформального та інформального навчання» називається Національне агентство кваліфікацій. На виконання вимог законодавства затверджено Порядок визнання у вищій та фаховій передвищій освіті результатів навчання, здобутих шляхом неформальної та/або інформальної освіти, наказ МОН України від 08.02.2022 р. № 130 (</w:t>
            </w:r>
            <w:hyperlink r:id="rId25">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http://surl.li/bpllg</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Перезарахування результатів неформальної та інформальної освіти в Університеті розпочнеться з 1-го семестру 2022/2023 навчального року, після набрання чинності наказу Міністерства освіти і науки України за №130 від 16 березня 2022 року «Про затвердження порядку визнання у вищій та фаховій передвищій освіті результатів навчання, здобутих шляхом неформальної та/або інформальної освіти». Університетське положення проходить етап обговорення і буде затверджене до завершення 1-го семестру 2022/2023 навчального року.</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У відомостях доцільно зазначити</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що Університет не обмежує академічної свободи науково-педагогічних працівників  університету щодо внесення до робочої програми освітнього компоненту рекомендацій щодо можливого (як альтернативний варіант освітньої траєкторії)  опанування окремих результатів навчання шляхом інформальної освіти або завдяки участі у програмах неформальної освіти. Визнання і оцінювання рівня опанування результатів неформального та/або інформального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інформальної освіти не може замінити процедур підсумкового оцінювання визначених освітньою програмою та індивідуальним навчальним планом.</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Якщо є приклади таких перезарахувань їх варто вказати у відповіді на наступне питання. </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Також варто вказати що Університет не обмежує права здобувачів освіти на розвиток своїх компетентностей поза освітніми програмами шляхом неформального та/або інформального навчання в Університеті і за його межами, сам розробляє і пропонує такі програми.</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на конкретних прикладах практику застосування вказаних правил на відповідній ОП (якщо такі були)?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Приклади наводяться за даною освітньою програмою (або за освітньою програмою яка їй передувала), якщо здобувачі скористалися правом на перезарахування частини дисципліни.</w:t>
            </w:r>
            <w:r w:rsidDel="00000000" w:rsidR="00000000" w:rsidRPr="00000000">
              <w:rPr>
                <w:rtl w:val="0"/>
              </w:rPr>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Навчання і викладання за освітньою програмою</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2"/>
        <w:tblW w:w="9660.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60"/>
        <w:tblGridChange w:id="0">
          <w:tblGrid>
            <w:gridCol w:w="9660"/>
          </w:tblGrid>
        </w:tblGridChange>
      </w:tblGrid>
      <w:tr>
        <w:trPr>
          <w:cantSplit w:val="0"/>
          <w:tblHeader w:val="0"/>
        </w:trPr>
        <w:tc>
          <w:tcP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форми та методи навчання і викладання на ОП</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сприяють досягненню програмних результатів навчання? Наведіть посилання на відповідні документи.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Не наводяться визначення назв форм та методів навчання і викладання. Відповідь на це питання має продемонструвати, як саме обрані у навчальному плані та у робочій навчальній програмі дисциплін форми навчання та методи викладання дозволяють досягти заявлених у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даній освітній програмі</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результатів навчання.</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Наприклад: лекції та вивчення дистанційних ресурсів – забезпечують набуття знань; семінарські/практичні заняття – поглиблення знань, формування аналітичних, комунікативних навичок тощо; лабораторні роботи та кейси –  формування вмінь; реалізація проєктів - розвиток автономності та відповідальності тощо.</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Можна послатися на Розділ 4 </w:t>
            </w:r>
            <w:hyperlink r:id="rId26">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КНУТШ </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 зазначеному розділі описуються види навчальних занять):</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ff"/>
                <w:sz w:val="32"/>
                <w:szCs w:val="32"/>
                <w:highlight w:val="cyan"/>
                <w:u w:val="single"/>
                <w:vertAlign w:val="baseline"/>
              </w:rPr>
            </w:pPr>
            <w:hyperlink r:id="rId2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tl w:val="0"/>
              </w:rPr>
            </w:r>
          </w:p>
        </w:tc>
      </w:tr>
      <w:tr>
        <w:trPr>
          <w:cantSplit w:val="0"/>
          <w:trHeight w:val="2107" w:hRule="atLeast"/>
          <w:tblHeader w:val="0"/>
        </w:trPr>
        <w:tc>
          <w:tcP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форми і методи навчання і викладання відповідають вимогам студентоцентрованого підходу? Яким є рівень задоволеності здобувачів вищої освіти методами навчання і викладання відповідно до результатів опитувань?</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Може зазначатися, що урахування пріоритетів здобувачів освіти здійснюється зокрема завдяки: реалістичності планування навантаження; використанню оптимальних методів викладання; взаємодії викладача із здобувачами під час занять; опитуванням та обговоренням викладеного матеріалу, в тому числі при проведенні лекцій; консультуванню як у визначений розкладом час, так і за допомогою електронних засобів комунікації; можливості вибору керівника і теми кваліфікаційного дослідження та бази проходження виробничої практики тощо. </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Обов'язково наводиться інформація про рівень задоволеності здобувачів освіти, що можна підтвердити результатами опитувань.</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забезпечується відповідність методів навчання і</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викладання на ОП принципам академічної свободи.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зробити основний акцент на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академічній свободі викладачів</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(НПП самостійно, базуючись на вимогах програми і навчального плану, розробляють робочі навчальні програми дисциплін, які вони забезпечують: змістове наповнення, визначення форм, методів викладання, оцінювання тощо відповідно до вимог ОНП і навчального плану).</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і у які строки учасникам освітнього процесу надається</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інформація щодо цілей, змісту та очікуваних результатів навчання, порядку та</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критеріїв оцінювання у межах окремих освітніх компонентів.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Наводяться дані про інформацію, яка надана в РНП дисциплін, вказуються способи і терміни її оприлюднення, а також інші способи інформування студентів, можна додати посилання на сайт. Також зазначається, що здобувачі мають можливість ознайомитися із інформацією щодо цілей, змісту та очікуваних результатів навчання до початку вивчення відповідного освітнього компоненту, а інформація про порядок та критерії оцінювання надаються на першому занятті.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відбувається поєднання навчання і досліджень під час  реалізації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Наводяться конкретні шляхи і приклади саме за даною освітньою програмою. </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СТУДЕНТИ ЗАЛУЧАЮТЬСЯ ДО ВИКОНАННЯ НАУКОВИХ ТЕМ, ПИШУТЬ СТАТТІ ТОЩО, то про це варто зазначити.</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Організацію дослідницької діяльності студентів та штатних співробітників університету регламентує Положення про науково-дослідну роботу в Київському національному університеті імені Тараса Шевченка:</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28">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https://science.knu.ua/upload/iblock/ac8/ac863585f8fed22f8f19d1b5fab6537e.doc</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процес. </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дія раніше затвердженої робочої навчальної програми може бути продовжена, але не більш як 2 роки поспіль</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навчання, викладання та наукові дослідження у межах ОП пов’язані із інтернаціоналізацією діяльності ЗВО</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Тут не слід розповідати про загальноуніверситетські/факультетські/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Контрольні заходи, оцінювання здобувачів вищої освіти та академічна доброчесність</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497.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7"/>
        <w:tblGridChange w:id="0">
          <w:tblGrid>
            <w:gridCol w:w="9497"/>
          </w:tblGrid>
        </w:tblGridChange>
      </w:tblGrid>
      <w:tr>
        <w:trPr>
          <w:cantSplit w:val="0"/>
          <w:tblHeader w:val="0"/>
        </w:trPr>
        <w:tc>
          <w:tcP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форми контрольних заходів у межах навчальних дисциплін ОП дозволяють перевірити досягнення програмних результатів навчання?</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Це має бути достатньо детальний опис, з прикладами</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і у які строки інформація про форми контрольних заходів та критерії оцінювання доводяться до здобувачів вищої освіти?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навчального процесу, графік сесії, графіки захисту звітів з практик, графіки проведення ЕК (підсумкова атестація) тощо. </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яким чином здобувачі інформуються про кількість накопичених балів з дисциплін перед підсумковим контролем.</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форми атестації здобувачів вищої освіти відповідають вимогам</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стандарту вищої освіти (за наявності)?</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яка з форм підсумкової атестації ОП відповідає стандарту, а яка(і) (і з якою метою)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додатково</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запроваджена(і). </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стандарту немає, то зазначаються форми підсумкової атестації ОП, а також наводиться аргументація щодо їх вибору.</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КНУТШ (розділ 4, 7):  </w:t>
            </w:r>
            <w:hyperlink r:id="rId2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30">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http://nmc.univ.kiev.ua/docs/Polojennya%20pro%20DEK.doc</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Можна додати що в умовах карантину і воєнного стану також діє Тимчасовий порядок проведення заліково-екзаменаційної сесії та підсумкової атестації з використанням технологій дистанційного навчання у КНУТШ:</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highlight w:val="red"/>
                <w:u w:val="none"/>
                <w:vertAlign w:val="baseline"/>
              </w:rPr>
            </w:pPr>
            <w:hyperlink r:id="rId31">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 http://nmc.univ.kiev.ua/docs/Poryadok%20zal_ekz%20sesii%20dyst_techn.pdf</w:t>
              </w:r>
            </w:hyperlink>
            <w:r w:rsidDel="00000000" w:rsidR="00000000" w:rsidRPr="00000000">
              <w:rPr>
                <w:rFonts w:ascii="Calibri" w:cs="Calibri" w:eastAsia="Calibri" w:hAnsi="Calibri"/>
                <w:b w:val="0"/>
                <w:i w:val="0"/>
                <w:smallCaps w:val="0"/>
                <w:strike w:val="0"/>
                <w:color w:val="000000"/>
                <w:sz w:val="20"/>
                <w:szCs w:val="20"/>
                <w:highlight w:val="cyan"/>
                <w:u w:val="none"/>
                <w:vertAlign w:val="baseline"/>
                <w:rtl w:val="0"/>
              </w:rPr>
              <w:t xml:space="preserve">.</w:t>
            </w:r>
            <w:r w:rsidDel="00000000" w:rsidR="00000000" w:rsidRPr="00000000">
              <w:rPr>
                <w:rFonts w:ascii="Calibri" w:cs="Calibri" w:eastAsia="Calibri" w:hAnsi="Calibri"/>
                <w:b w:val="0"/>
                <w:i w:val="1"/>
                <w:smallCaps w:val="0"/>
                <w:strike w:val="0"/>
                <w:color w:val="000000"/>
                <w:sz w:val="26"/>
                <w:szCs w:val="26"/>
                <w:highlight w:val="red"/>
                <w:u w:val="none"/>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tyjcwt" w:id="3"/>
            <w:bookmarkEnd w:id="3"/>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br w:type="textWrapping"/>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vgvpfoc47tpx" w:id="4"/>
            <w:bookmarkEnd w:id="4"/>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Процедури запобігання та врегулювання конфлікту інтересів регламентуються  </w:t>
            </w:r>
            <w:hyperlink r:id="rId32">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Положенням про організацію освітнього процесу</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(п.п. 7.1.7.-7.1.9.)  та  </w:t>
            </w:r>
            <w:hyperlink r:id="rId33">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Порядком вирішення конфліктних ситуацій у КНУТШ</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br w:type="textWrapping"/>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6"/>
                <w:szCs w:val="26"/>
                <w:highlight w:val="cyan"/>
                <w:u w:val="single"/>
                <w:vertAlign w:val="baseline"/>
              </w:rPr>
            </w:pPr>
            <w:hyperlink r:id="rId34">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https://www.knu.ua/pdfs/official/Procedure-for-resolving-conflict-situations-in-University.pdf</w:t>
              </w:r>
            </w:hyperlink>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Приклади наводяться за даною освітньою програмою (або за програмою, що передує даній ОП).</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Документ - Положення про організацію освітнього процесу у КНУТШ (розділ 7 та інші): </w:t>
            </w:r>
            <w:hyperlink r:id="rId35">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Приклади наводяться за даною освітньою програмою (або за програмою, що передує даній ОП)..</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Порядок оскарження процедури та результатів проведення контрольних заходів регулюється наступними документами:</w:t>
            </w: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3dy6vkm" w:id="5"/>
            <w:bookmarkEnd w:id="5"/>
            <w:hyperlink r:id="rId36">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КНУТШ </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(розділ 4, 8 та інші): </w:t>
            </w:r>
            <w:hyperlink r:id="rId3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https://knu.ua/pdfs/official/Polozhennia-pro-organizatsiyu-osvitniogo-procesu-11_04_2022.pdf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Апеляційну комісію – щодо вступних іспитів на ОП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https://vstup.knu.ua/userfiles/files/Appellate%20Commission.pdf </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порядок створення та організацію роботи Екзаменаційної комісії в КНУТШ від 3 листопада 2014 року: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nmc.univ.kiev.ua/docs/Polojennya%20pro%20DEK.doc </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Приклади наводяться за даною освітньою програмою (або за програмою, що передує даній ОП).</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Які документи ЗВО містять політику, стандарти і процедури дотримання академічної доброчесності?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Вказується, що у </w:t>
            </w:r>
            <w:hyperlink r:id="rId38">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Положенні про організацію освітнього процесу у КНУТШ</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(у підрозділах 9.8, 10.7 та окремі підпункти розділів 7 і 8) визначені види порушень і відповідальність здобувачів освіти та НПП. </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Доцільно посилатися на наступні документи: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Етичний кодекс університетської спільноти: </w:t>
            </w:r>
            <w:hyperlink r:id="rId3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https://www.knu.ua/pdfs/official/ethical-code/Ethical-code-of-the-university-community.pdf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систему виявлення та запобігання академічному плагіату  у КНУТШ: </w:t>
            </w:r>
            <w:hyperlink r:id="rId40">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http://senate.univ.kiev.ua/?p=1352</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Ухвала ВР КНУТШ “Про репутаційну політику КНУТШ”: </w:t>
            </w:r>
            <w:hyperlink r:id="rId41">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http://senate.univ.kiev.ua/?p=937</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Ухвала ВР КНУТШ “Вимоги етичної компетентності та запобігання неетичної поведінки представників університетської спільноти”: </w:t>
            </w:r>
            <w:hyperlink r:id="rId42">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http://senate.univ.kiev.ua/?p=1733</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забезпечення дотримання академічної академічної доброчесності у КНУТШ: </w:t>
            </w:r>
            <w:hyperlink r:id="rId43">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http://senate.univ.kiev.ua/?p=2104</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Які технологічні рішення використовуються на ОП як інструменти протидії порушенням академічної доброчесності?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Описується застосування на даній ОП </w:t>
            </w:r>
            <w:hyperlink r:id="rId44">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систему виявлення та запобігання академічному плагіату у КНУТШ</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45">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https://knu.ua/pdfs/official/Detection-and-prevention-of-academic-plagiarism-in-University.pdf</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Бажано зазначити, хто відповідальний за перевірку на плагіат (викладач, кафедра чи інша особа). Можна додатково посилатися на UniChec. Можна також, як доповнення щодо вжиття заходів з унеможливлення недоброчесності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репозитарію кваліфікаційних робіт тощо.</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в Положенні про організацію освітнього процесу у КНУТШ  (зокрема в розділах 7, 9 та 10)</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4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https://knu.ua/pdfs/official/Polozhennia-pro-organizatsiyu-osvitniogo-procesu-11_04_2022.pdf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та в Положенні про забезпечення дотримання академічної доброчесності у КНУТШ </w:t>
            </w:r>
            <w:hyperlink r:id="rId4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http://senate.univ.kiev.ua/?p=2104</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89"/>
                <w:tab w:val="left" w:pos="9072"/>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ЗВО популяризує академічну доброчесність серед здобувачів вищої освіти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072"/>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студпарламенту </w:t>
            </w:r>
            <w:hyperlink r:id="rId48">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http://sp.knu.ua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072"/>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Університет традиційно бере участь у міжнародних проєктах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r w:rsidDel="00000000" w:rsidR="00000000" w:rsidRPr="00000000">
              <w:rPr>
                <w:rFonts w:ascii="Times New Roman" w:cs="Times New Roman" w:eastAsia="Times New Roman" w:hAnsi="Times New Roman"/>
                <w:b w:val="0"/>
                <w:i w:val="1"/>
                <w:smallCaps w:val="0"/>
                <w:strike w:val="0"/>
                <w:color w:val="000000"/>
                <w:sz w:val="25"/>
                <w:szCs w:val="25"/>
                <w:highlight w:val="cyan"/>
                <w:u w:val="none"/>
                <w:vertAlign w:val="baseline"/>
                <w:rtl w:val="0"/>
              </w:rPr>
              <w:t xml:space="preserve">проєкт «Ініціатива академічної доброчесності та якості освіти» (Academic Integrity and Quality Initiative – Academic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49">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https://academiq.org.ua/pro-proekt/</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Види реагування ЗВО на порушення академічної доброчесності визначені у </w:t>
            </w:r>
            <w:hyperlink r:id="rId50">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Положенні про організацію освітнього процесу у Київському національному університеті імені Тараса Шевченка</w:t>
              </w:r>
            </w:hyperlink>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 (п.9.8.3)</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Приклади наводяться за даною освітньою програмою (або за програмою, що передує даній ОП).</w:t>
            </w:r>
            <w:r w:rsidDel="00000000" w:rsidR="00000000" w:rsidRPr="00000000">
              <w:rPr>
                <w:rtl w:val="0"/>
              </w:rPr>
            </w:r>
          </w:p>
        </w:tc>
      </w:tr>
    </w:tbl>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Людські ресурси</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4"/>
        <w:tblW w:w="9639.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cantSplit w:val="0"/>
          <w:tblHeader w:val="0"/>
        </w:trPr>
        <w:tc>
          <w:tcP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підчас конкурсного добору викладачів ОП забезпечується необхідний рівень їх професіоналізму?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4d34og8" w:id="6"/>
            <w:bookmarkEnd w:id="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ff"/>
                <w:sz w:val="26"/>
                <w:szCs w:val="26"/>
                <w:highlight w:val="cyan"/>
                <w:u w:val="singl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51">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http://senate.univ.kiev.ua/?p=1863</w:t>
              </w:r>
            </w:hyperlink>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та Положення про порядок проведення конкурсу на заміщення вакантних наукових посад у КНУТШ </w:t>
            </w:r>
            <w:hyperlink r:id="rId52">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https://science.knu.ua/upload/iblock/35d/35d232242b24a0d67b42a49bea2b2ea7.pdf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Оголошення про проведення конкурсу, терміни та його умови розміщуються на офіційному сайті КНУТШ </w:t>
            </w:r>
            <w:hyperlink r:id="rId53">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http://senate.univ.kiev.ua/?cat=9</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54">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https://zakon.rada.gov.ua/laws/show/1187-2015-%D0%BF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40"/>
                <w:tab w:val="left" w:pos="1720"/>
                <w:tab w:val="left" w:pos="3260"/>
                <w:tab w:val="left" w:pos="3720"/>
                <w:tab w:val="left" w:pos="5020"/>
                <w:tab w:val="left" w:pos="6340"/>
                <w:tab w:val="left" w:pos="7100"/>
                <w:tab w:val="left" w:pos="8020"/>
                <w:tab w:val="left" w:pos="872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w:t>
              <w:tab/>
              <w:t xml:space="preserve">із</w:t>
              <w:tab/>
              <w:t xml:space="preserve">посиланням</w:t>
              <w:tab/>
              <w:t xml:space="preserve">на</w:t>
              <w:tab/>
              <w:t xml:space="preserve">конкретні</w:t>
              <w:tab/>
              <w:t xml:space="preserve">приклади,</w:t>
              <w:tab/>
              <w:t xml:space="preserve">яким</w:t>
              <w:tab/>
              <w:t xml:space="preserve">чином</w:t>
              <w:tab/>
              <w:t xml:space="preserve">ЗВО залучає роботодавців до організації та реалізації освітнього процесу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highlight w:val="red"/>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40"/>
                <w:tab w:val="left" w:pos="1720"/>
                <w:tab w:val="left" w:pos="3260"/>
                <w:tab w:val="left" w:pos="3720"/>
                <w:tab w:val="left" w:pos="5020"/>
                <w:tab w:val="left" w:pos="6340"/>
                <w:tab w:val="left" w:pos="7100"/>
                <w:tab w:val="left" w:pos="8020"/>
                <w:tab w:val="left" w:pos="872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ЗВО сприяє професійному розвиткові викладачів ОП? Наведіть конкретні приклади такого сприяння.</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 </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222222"/>
                <w:sz w:val="26"/>
                <w:szCs w:val="26"/>
                <w:highlight w:val="cyan"/>
                <w:u w:val="none"/>
                <w:vertAlign w:val="baseline"/>
                <w:rtl w:val="0"/>
              </w:rPr>
              <w:t xml:space="preserve">Положення про підвищення кваліфікації педагогічних та науково-педагогічних працівників КНУТШ </w:t>
            </w:r>
            <w:hyperlink r:id="rId55">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http://senate.univ.kiev.ua/?p=1997</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Можливості для підвищення кваліфікації зокрема створюють: </w:t>
            </w: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2s8eyo1" w:id="7"/>
            <w:bookmarkEnd w:id="7"/>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Інститут післядипломної освіти </w:t>
            </w:r>
            <w:hyperlink r:id="rId5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http://www.ipe.knu.ua/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br w:type="textWrapping"/>
            </w:r>
            <w:r w:rsidDel="00000000" w:rsidR="00000000" w:rsidRPr="00000000">
              <w:rPr>
                <w:rtl w:val="0"/>
              </w:rPr>
            </w:r>
          </w:p>
          <w:p w:rsidR="00000000" w:rsidDel="00000000" w:rsidP="00000000" w:rsidRDefault="00000000" w:rsidRPr="00000000" w14:paraId="000001E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yzbtuwyjy319" w:id="8"/>
            <w:bookmarkEnd w:id="8"/>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Відділ академічної мобільності КНУТШ</w:t>
              <w:br w:type="textWrapping"/>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57">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http://mobility.univ.kiev.ua/?page_id=2&amp;lang=uk</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17dp8vu" w:id="9"/>
            <w:bookmarkEnd w:id="9"/>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Відділ міжнародних зв'язків </w:t>
            </w:r>
            <w:hyperlink r:id="rId58">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http://international.knu.ua/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22buxf21tmfi" w:id="10"/>
            <w:bookmarkEnd w:id="10"/>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Деякі програми підвищення кваліфікації:</w:t>
              <w:br w:type="textWrapping"/>
            </w: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3z28ymii7sfi" w:id="11"/>
            <w:bookmarkEnd w:id="11"/>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KNU professionals Digital skills Pro - </w:t>
            </w:r>
            <w:r w:rsidDel="00000000" w:rsidR="00000000" w:rsidRPr="00000000">
              <w:rPr>
                <w:rFonts w:ascii="Times New Roman" w:cs="Times New Roman" w:eastAsia="Times New Roman" w:hAnsi="Times New Roman"/>
                <w:b w:val="0"/>
                <w:i w:val="1"/>
                <w:smallCaps w:val="0"/>
                <w:strike w:val="0"/>
                <w:color w:val="1d2129"/>
                <w:sz w:val="26"/>
                <w:szCs w:val="26"/>
                <w:highlight w:val="cyan"/>
                <w:u w:val="none"/>
                <w:vertAlign w:val="baseline"/>
                <w:rtl w:val="0"/>
              </w:rPr>
              <w:t xml:space="preserve">програма розвитку цифрових компетентностей викладачів</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br w:type="textWrapping"/>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3rdcrjn" w:id="12"/>
            <w:bookmarkEnd w:id="12"/>
            <w:hyperlink r:id="rId59">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https://www.facebook.com/kyiv.university/posts/5392026514155920</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vtjedegudb7m" w:id="13"/>
            <w:bookmarkEnd w:id="13"/>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KNU Teach Week - платформа для фахового розвитку НПП, підвищення рівня пед.майстерності </w:t>
            </w:r>
            <w:hyperlink r:id="rId60">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http://www.univ.kiev.ua/news/11415</w:t>
              </w:r>
            </w:hyperlink>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br w:type="textWrapping"/>
            </w:r>
          </w:p>
          <w:p w:rsidR="00000000" w:rsidDel="00000000" w:rsidP="00000000" w:rsidRDefault="00000000" w:rsidRPr="00000000" w14:paraId="000001F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Програми підвищення кваліфікації розроблені спільно ІПО і ВЗЯО </w:t>
            </w:r>
            <w:hyperlink r:id="rId61">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http://www.ipe.knu.ua/#details-0-2</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 </w:t>
            </w:r>
            <w:hyperlink r:id="rId62">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http://www.ipe.knu.ua/#details-0-1</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тощо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що ЗВО стимулює розвиток викладацької майстерності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надати інформацію про такі види стимулювання, як:</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7"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преміювання (наказ Ректора № 71-32 від 31.01.2014 р. «Про затвердження Положення про стимулювання співробітників Київського національного університету імені Тараса Шевченка за результатами наукової діяльності», розпорядження ректора «Про створення комісії з матеріального заохочення» від 10.12.2018р. за №113 </w:t>
            </w:r>
            <w:hyperlink r:id="rId63">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http://science.univ.kiev.ua/news/official/3247/</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7"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визначення і відзначення кращих викладачів року (з прикладами, особливо, якщо такі були серед викладачів, які викладають на даній ОП)</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Також зазначається, що Університет є учасником програми  вдосконалення викладання у вищій освіті України (Ukraine Higher Education Teaching Excellence Programme) та проєкту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методик і технік. За результатами участі в проєкті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64">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https://www.facebook.com/KNUprofessionals/about</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де викладачі мають можливість обмінятися досвідом.</w:t>
            </w:r>
            <w:r w:rsidDel="00000000" w:rsidR="00000000" w:rsidRPr="00000000">
              <w:rPr>
                <w:rtl w:val="0"/>
              </w:rPr>
            </w:r>
          </w:p>
        </w:tc>
      </w:tr>
    </w:tbl>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Освітнє середовище та матеріальні ресурси</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5"/>
        <w:tblW w:w="9585.0" w:type="dxa"/>
        <w:jc w:val="left"/>
        <w:tblInd w:w="4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85"/>
        <w:tblGridChange w:id="0">
          <w:tblGrid>
            <w:gridCol w:w="9585"/>
          </w:tblGrid>
        </w:tblGridChange>
      </w:tblGrid>
      <w:tr>
        <w:trPr>
          <w:cantSplit w:val="0"/>
          <w:tblHeader w:val="0"/>
        </w:trPr>
        <w:tc>
          <w:tcP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4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9" w:lineRule="auto"/>
              <w:ind w:left="0" w:right="45"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Недоцільно описувати відповідність вимогам Ліцензійних умов (зазначати площі, кількість аудиторій тощо).</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9" w:lineRule="auto"/>
              <w:ind w:left="0" w:right="45"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Зазначаються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не всі наявні ресурси</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і структури (підрозділи) кафедри/ факультету/університету, а тільки ті, які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регулярно використовуються</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здобувачами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даної освітньої програми</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Elsevier, WebofScience, що</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сприяє оволодінню відповідними знаннями; навчально-методичне забезпечення сприяє досягненню цілей, завдань, ПРН ОП;  рентгеноспектрометр – формуванню вміння аналізувати склад мінеральних утворень, лінгафонний кабінет - …, мультимедійний клас - …, лабораторії - … тощо).</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55"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освітнє середовище, створене у ЗВО, дозволяє</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88" w:firstLine="0"/>
              <w:jc w:val="both"/>
              <w:rPr>
                <w:rFonts w:ascii="Calibri" w:cs="Calibri" w:eastAsia="Calibri" w:hAnsi="Calibri"/>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Зазначаються наявні “елементи” освітнього середовища: сучасне обладнання аудиторій; інформаційна мережі університету і її ресурси; коворкінги і креативні простори, які створюються за підтримки роботодавців; мовний центр (Центр іноземних мов КНУ імені Тараса Шевченка (</w:t>
            </w:r>
            <w:hyperlink r:id="rId65">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http://langcenter.knu.ua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тощо.</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88" w:firstLine="0"/>
              <w:jc w:val="both"/>
              <w:rPr>
                <w:rFonts w:ascii="Times New Roman" w:cs="Times New Roman" w:eastAsia="Times New Roman" w:hAnsi="Times New Roman"/>
                <w:b w:val="0"/>
                <w:i w:val="0"/>
                <w:smallCaps w:val="0"/>
                <w:strike w:val="0"/>
                <w:color w:val="000000"/>
                <w:sz w:val="26"/>
                <w:szCs w:val="26"/>
                <w:highlight w:val="red"/>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послатися на результати опитування ЮНІДОС (</w:t>
            </w:r>
            <w:hyperlink r:id="rId6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http://unidos.univ.kiev.ua/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Зворотній зв’язок не повинен закінчуватись на етапі обговорення. - послатися на ,  переглянути опитувальник за ОП.</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ЗВО забезпечує безпечність освітнього середовища для життя та здоров’я здобувачів вищої освіти (включаючи психічне здоров’я)</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6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https://knu.ua/pdfs/official/Development-strategic-plan.pdf</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Норми Правил внутрішнього розпорядку КНУТШ  </w:t>
            </w:r>
            <w:hyperlink r:id="rId68">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http://surl.li/apuyx</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Правил внутрішнього розпорядку в студентських гуртожитках університету </w:t>
            </w:r>
            <w:hyperlink r:id="rId6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https://studmisto.knu.ua/documents/regulation-documents/257-pravyla-vnutrishnoho-rozporiadku</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спрямовані на гарантування належних умов праці та навчання відповідно до вимог законодавства про охорону праці. </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70">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https://psyservice.knu.ua/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Університетської клініки </w:t>
            </w:r>
            <w:hyperlink r:id="rId71">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https://clinic.knu.ua/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та Інституту психіатрії Університету </w:t>
            </w:r>
            <w:hyperlink r:id="rId72">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http://knu.ua/ua/departments/psychiatry</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Варто доповнити інформацією щодо організації освітнього процесу з дотриманням протиепідеміологічних заходів в період дії карантинних обмежень.</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51"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26in1rg" w:id="14"/>
            <w:bookmarkEnd w:id="1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У відповіді необхідно описати ким (куратори, НПП, деканати, тьютори тощо) та, як саме (зазначити канали комунікації) надається освітня, інформаційна підтримка здобувачам. </w:t>
              <w:br w:type="textWrapp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59" w:lineRule="auto"/>
              <w:ind w:left="0" w:right="4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rob95ato3sri" w:id="15"/>
            <w:bookmarkEnd w:id="15"/>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Слід описати допомогу, яку надають студентам зокрема: </w:t>
              <w:br w:type="textWrapping"/>
            </w:r>
            <w:r w:rsidDel="00000000" w:rsidR="00000000" w:rsidRPr="00000000">
              <w:rPr>
                <w:rtl w:val="0"/>
              </w:rPr>
            </w:r>
          </w:p>
          <w:p w:rsidR="00000000" w:rsidDel="00000000" w:rsidP="00000000" w:rsidRDefault="00000000" w:rsidRPr="00000000" w14:paraId="0000020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20" w:right="4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vegfy1x42dzj" w:id="16"/>
            <w:bookmarkEnd w:id="16"/>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Центр по роботі зі студентами, </w:t>
              <w:br w:type="textWrapping"/>
            </w:r>
            <w:r w:rsidDel="00000000" w:rsidR="00000000" w:rsidRPr="00000000">
              <w:rPr>
                <w:rtl w:val="0"/>
              </w:rPr>
            </w:r>
          </w:p>
          <w:p w:rsidR="00000000" w:rsidDel="00000000" w:rsidP="00000000" w:rsidRDefault="00000000" w:rsidRPr="00000000" w14:paraId="0000020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4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6i3pngewtsd4" w:id="17"/>
            <w:bookmarkEnd w:id="17"/>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Відділ академічної мобільності </w:t>
            </w:r>
            <w:hyperlink r:id="rId73">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https://knu.ua/ua/dep/academic-mobile</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br w:type="textWrapping"/>
            </w:r>
            <w:r w:rsidDel="00000000" w:rsidR="00000000" w:rsidRPr="00000000">
              <w:rPr>
                <w:rtl w:val="0"/>
              </w:rPr>
            </w:r>
          </w:p>
          <w:p w:rsidR="00000000" w:rsidDel="00000000" w:rsidP="00000000" w:rsidRDefault="00000000" w:rsidRPr="00000000" w14:paraId="0000020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40" w:hanging="360"/>
              <w:jc w:val="both"/>
              <w:rPr>
                <w:rFonts w:ascii="Calibri" w:cs="Calibri" w:eastAsia="Calibri" w:hAnsi="Calibri"/>
                <w:b w:val="0"/>
                <w:i w:val="0"/>
                <w:smallCaps w:val="0"/>
                <w:strike w:val="0"/>
                <w:color w:val="000000"/>
                <w:sz w:val="26"/>
                <w:szCs w:val="26"/>
                <w:highlight w:val="cyan"/>
                <w:u w:val="none"/>
                <w:vertAlign w:val="baseline"/>
              </w:rPr>
            </w:pPr>
            <w:bookmarkStart w:colFirst="0" w:colLast="0" w:name="_heading=h.31pobckmw6va" w:id="18"/>
            <w:bookmarkEnd w:id="18"/>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Відділ сприяння працевлаштуванню </w:t>
            </w:r>
            <w:hyperlink r:id="rId74">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http://jobs.knu.ua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Fonts w:ascii="Calibri" w:cs="Calibri" w:eastAsia="Calibri" w:hAnsi="Calibri"/>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20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40" w:hanging="360"/>
              <w:jc w:val="both"/>
              <w:rPr>
                <w:rFonts w:ascii="Calibri" w:cs="Calibri" w:eastAsia="Calibri" w:hAnsi="Calibri"/>
                <w:b w:val="0"/>
                <w:i w:val="0"/>
                <w:smallCaps w:val="0"/>
                <w:strike w:val="0"/>
                <w:color w:val="000000"/>
                <w:sz w:val="26"/>
                <w:szCs w:val="26"/>
                <w:highlight w:val="cyan"/>
                <w:u w:val="none"/>
                <w:vertAlign w:val="baseline"/>
              </w:rPr>
            </w:pPr>
            <w:bookmarkStart w:colFirst="0" w:colLast="0" w:name="_heading=h.30ej73aj5u2y" w:id="19"/>
            <w:bookmarkEnd w:id="19"/>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Спорткомплекс - </w:t>
            </w:r>
            <w:hyperlink r:id="rId75">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http://sport.univ.kiev.ua/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 </w:t>
            </w:r>
            <w:r w:rsidDel="00000000" w:rsidR="00000000" w:rsidRPr="00000000">
              <w:rPr>
                <w:rFonts w:ascii="Calibri" w:cs="Calibri" w:eastAsia="Calibri" w:hAnsi="Calibri"/>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20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40" w:hanging="360"/>
              <w:jc w:val="both"/>
              <w:rPr>
                <w:rFonts w:ascii="Calibri" w:cs="Calibri" w:eastAsia="Calibri" w:hAnsi="Calibri"/>
                <w:b w:val="0"/>
                <w:i w:val="0"/>
                <w:smallCaps w:val="0"/>
                <w:strike w:val="0"/>
                <w:color w:val="000000"/>
                <w:sz w:val="26"/>
                <w:szCs w:val="26"/>
                <w:highlight w:val="cyan"/>
                <w:u w:val="none"/>
                <w:vertAlign w:val="baseline"/>
              </w:rPr>
            </w:pPr>
            <w:bookmarkStart w:colFirst="0" w:colLast="0" w:name="_heading=h.xttwsp3bf9is" w:id="20"/>
            <w:bookmarkEnd w:id="20"/>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Молодіжний центр культурно-естетичного виховання </w:t>
            </w:r>
            <w:hyperlink r:id="rId7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https://www.knu.ua/ua/dep/molod-center</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Fonts w:ascii="Calibri" w:cs="Calibri" w:eastAsia="Calibri" w:hAnsi="Calibri"/>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20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40" w:hanging="360"/>
              <w:jc w:val="both"/>
              <w:rPr>
                <w:rFonts w:ascii="Calibri" w:cs="Calibri" w:eastAsia="Calibri" w:hAnsi="Calibri"/>
                <w:b w:val="0"/>
                <w:i w:val="0"/>
                <w:smallCaps w:val="0"/>
                <w:strike w:val="0"/>
                <w:color w:val="000000"/>
                <w:sz w:val="26"/>
                <w:szCs w:val="26"/>
                <w:highlight w:val="cyan"/>
                <w:u w:val="none"/>
                <w:vertAlign w:val="baseline"/>
              </w:rPr>
            </w:pPr>
            <w:bookmarkStart w:colFirst="0" w:colLast="0" w:name="_heading=h.mkr6pk22o8rx" w:id="21"/>
            <w:bookmarkEnd w:id="21"/>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Центр комунікацій </w:t>
            </w:r>
            <w:hyperlink r:id="rId7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https://knu.ua/ua/departments/dc/</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Fonts w:ascii="Calibri" w:cs="Calibri" w:eastAsia="Calibri" w:hAnsi="Calibri"/>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20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40" w:hanging="360"/>
              <w:jc w:val="both"/>
              <w:rPr>
                <w:rFonts w:ascii="Calibri" w:cs="Calibri" w:eastAsia="Calibri" w:hAnsi="Calibri"/>
                <w:b w:val="0"/>
                <w:i w:val="0"/>
                <w:smallCaps w:val="0"/>
                <w:strike w:val="0"/>
                <w:color w:val="000000"/>
                <w:sz w:val="26"/>
                <w:szCs w:val="26"/>
                <w:highlight w:val="cyan"/>
                <w:u w:val="none"/>
                <w:vertAlign w:val="baseline"/>
              </w:rPr>
            </w:pPr>
            <w:bookmarkStart w:colFirst="0" w:colLast="0" w:name="_heading=h.mu1tlexnvol7" w:id="22"/>
            <w:bookmarkEnd w:id="22"/>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Наукове товариство студентів та аспірантів </w:t>
            </w:r>
            <w:hyperlink r:id="rId78">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http://ntsa.univ.kiev.ua/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Fonts w:ascii="Calibri" w:cs="Calibri" w:eastAsia="Calibri" w:hAnsi="Calibri"/>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2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4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Навчальна лабораторія соціологічних та освітніх досліджень </w:t>
            </w:r>
            <w:hyperlink r:id="rId7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https://sociology.knu.ua/uk/department/navchalna-laboratoriya-sociologichnyh-ta-osvitnih-doslidzhen</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тощо.</w:t>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Слід вказати результати опитувань на рівні ОП та  на загальноуніверситетському рівні (хоча б за останніми опитуваннями UniDOS)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0" w:right="5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паркувальними місцями для автомобілів тощо).</w:t>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0" w:right="5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80">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Київському національному університеті імені Тараса Шевченка</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наукометричних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Доцільно посилатися на наступні документи: </w:t>
            </w: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81">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Концепція розвитку інклюзивної освіти "Університету рівних можливостей"</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82">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https://www.knu.ua/pdfs/equal-opportunities/Concept-of-inclusive-education-development.pdf</w:t>
              </w:r>
            </w:hyperlink>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83">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Пам‘ятка про правила комунікації із людьми з інвалідністю</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84">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https://www.knu.ua/pdfs/equal-opportunities/Pamyatka-pro-pravyla-komunikaciyi-iz-lyudmy-z-invalidnistyu.pdf</w:t>
              </w:r>
            </w:hyperlink>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85">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Порядок супроводу осіб з інвалідністю</w:t>
              </w:r>
            </w:hyperlink>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8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https://www.knu.ua/pdfs/equal-opportunities/Poryadok-suprovodu-osib-z-invalidnistyu.pdf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для врегулювання конфліктних ситуацій в Університеті діє Постійна комісія Вченої ради з питань етики. </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Доцільно посилатися на такі документи та заходи:</w:t>
            </w: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КНУТШ </w:t>
            </w:r>
            <w:hyperlink r:id="rId8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tl w:val="0"/>
              </w:rPr>
            </w:r>
          </w:p>
          <w:p w:rsidR="00000000" w:rsidDel="00000000" w:rsidP="00000000" w:rsidRDefault="00000000" w:rsidRPr="00000000" w14:paraId="0000022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fq245xxlqgdg" w:id="23"/>
            <w:bookmarkEnd w:id="23"/>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Порядок вирішення конфліктних ситуацій у КНУТШ </w:t>
            </w:r>
            <w:hyperlink r:id="rId88">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https://www.knu.ua/pdfs/official/Procedure-for-resolving-conflict-situations-in-University.pdf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22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Заходи щодо запобігання та протидії корупції (затверджена Антикорупційна програма  </w:t>
            </w:r>
            <w:hyperlink r:id="rId8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https://www.knu.ua/pdfs/official/preventing-corruption/antykoruptsiyna_prohrama.pdf</w:t>
              </w:r>
            </w:hyperlink>
            <w:r w:rsidDel="00000000" w:rsidR="00000000" w:rsidRPr="00000000">
              <w:rPr>
                <w:rtl w:val="0"/>
              </w:rPr>
            </w:r>
          </w:p>
          <w:p w:rsidR="00000000" w:rsidDel="00000000" w:rsidP="00000000" w:rsidRDefault="00000000" w:rsidRPr="00000000" w14:paraId="0000022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Етичний кодекс університетської спільноти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https://www.knu.ua/pdfs/official/ethical-code/Ethical-code-of-the-university-community.pdf</w:t>
            </w:r>
            <w:r w:rsidDel="00000000" w:rsidR="00000000" w:rsidRPr="00000000">
              <w:rPr>
                <w:rtl w:val="0"/>
              </w:rPr>
            </w:r>
          </w:p>
          <w:p w:rsidR="00000000" w:rsidDel="00000000" w:rsidP="00000000" w:rsidRDefault="00000000" w:rsidRPr="00000000" w14:paraId="0000022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Порядок запобігання та протидії дискримінації, булінгу, гендерно- обумовленому насильству в КНУТШ, введений в дiю наказом ректора від 08.02.2022 № 79-32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https://www.knu.ua/pdfs/official/Procedure-for-preventing-discrimination-bullying-gender-based-violence-in-University.pdf</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22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Пам’ятка норм етичної поведінки для учасників освітнього процесу КНУТШ, введено в дію наказом ректора від 10.11.2021 № 897-32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https://www.knu.ua/pdfs/official/Memo-of-norms-of-ethical-behavior-in-University.pdf</w:t>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Приклади наводяться за даною ОП (або за програмою, що передує даній ОП), якщо вони мали місце </w:t>
            </w:r>
            <w:r w:rsidDel="00000000" w:rsidR="00000000" w:rsidRPr="00000000">
              <w:rPr>
                <w:rtl w:val="0"/>
              </w:rPr>
            </w:r>
          </w:p>
        </w:tc>
      </w:tr>
    </w:tbl>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Внутрішнє забезпечення якості  освітньої програми</w:t>
      </w:r>
      <w:r w:rsidDel="00000000" w:rsidR="00000000" w:rsidRPr="00000000">
        <w:rPr>
          <w:rtl w:val="0"/>
        </w:rPr>
      </w:r>
    </w:p>
    <w:tbl>
      <w:tblPr>
        <w:tblStyle w:val="Table16"/>
        <w:tblW w:w="101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39"/>
        <w:tblGridChange w:id="0">
          <w:tblGrid>
            <w:gridCol w:w="10139"/>
          </w:tblGrid>
        </w:tblGridChange>
      </w:tblGrid>
      <w:tr>
        <w:trPr>
          <w:cantSplit w:val="0"/>
          <w:tblHeader w:val="0"/>
        </w:trPr>
        <w:tc>
          <w:tcP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Доцільно посилатися на такі документи:</w:t>
            </w:r>
            <w:r w:rsidDel="00000000" w:rsidR="00000000" w:rsidRPr="00000000">
              <w:rPr>
                <w:rtl w:val="0"/>
              </w:rPr>
            </w:r>
          </w:p>
          <w:p w:rsidR="00000000" w:rsidDel="00000000" w:rsidP="00000000" w:rsidRDefault="00000000" w:rsidRPr="00000000" w14:paraId="000002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КНУТШ введене в дію Наказом Ректора від 31 серпня 2018 року за №716-32 (Редакція 2022 року)</w:t>
            </w:r>
            <w:r w:rsidDel="00000000" w:rsidR="00000000" w:rsidRPr="00000000">
              <w:rPr>
                <w:rFonts w:ascii="Calibri" w:cs="Calibri" w:eastAsia="Calibri" w:hAnsi="Calibri"/>
                <w:b w:val="0"/>
                <w:i w:val="1"/>
                <w:smallCaps w:val="0"/>
                <w:strike w:val="0"/>
                <w:color w:val="000000"/>
                <w:sz w:val="20"/>
                <w:szCs w:val="20"/>
                <w:highlight w:val="red"/>
                <w:u w:val="none"/>
                <w:vertAlign w:val="baseline"/>
                <w:rtl w:val="0"/>
              </w:rPr>
              <w:t xml:space="preserve"> </w:t>
            </w:r>
            <w:hyperlink r:id="rId90">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tl w:val="0"/>
              </w:rPr>
            </w:r>
          </w:p>
          <w:p w:rsidR="00000000" w:rsidDel="00000000" w:rsidP="00000000" w:rsidRDefault="00000000" w:rsidRPr="00000000" w14:paraId="000002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hyperlink r:id="rId91">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 додатками) </w:t>
            </w:r>
            <w:hyperlink r:id="rId92">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http://nmc.univ.kiev.ua/docs/Nakaz_Form_Doc-729-32_11-08-2017.pdf</w:t>
              </w:r>
            </w:hyperlink>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https://www.knu.ua/pdfs/official/Quality-assurance-system-of-education-and-educational-process.pdf</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6"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Т</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https://www.knu.ua/pdfs/official/Quality-assurance-system-of-education-and-educational-process.pdf</w:t>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 w:firstLine="0"/>
              <w:jc w:val="both"/>
              <w:rPr>
                <w:rFonts w:ascii="Times New Roman" w:cs="Times New Roman" w:eastAsia="Times New Roman" w:hAnsi="Times New Roman"/>
                <w:b w:val="0"/>
                <w:i w:val="0"/>
                <w:smallCaps w:val="0"/>
                <w:strike w:val="0"/>
                <w:color w:val="000000"/>
                <w:sz w:val="26"/>
                <w:szCs w:val="26"/>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стейкхолдерів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проєкту змін. Зазначається які саме зміни вносились і з якою метою /з якої причини</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із посиланням на конкретні приклади, як здобувачі вищої освіти</w:t>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залучені до процесу періодичного перегляду ОП та інших процедур забезпечення її</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якості, а їх позиція береться до уваги підчас перегляду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 враховані</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пропозиції студентів (обов’язково після обговорення та з дотриманням усіх процедур щодо внесення змін). </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 враховані</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пропозиції студентів (обов’язково після обговорення та з дотриманням усіх процедур щодо внесення змін).</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red"/>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ЗВЕРНІТЬ УВАГУ!</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навч.дисциплін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студентське самоврядування бере участь у процедурах внутрішнього забезпечення якості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44sinio" w:id="24"/>
            <w:bookmarkEnd w:id="24"/>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Наводиться інформація про участь органів студентського самоврядування </w:t>
            </w:r>
            <w:r w:rsidDel="00000000" w:rsidR="00000000" w:rsidRPr="00000000">
              <w:rPr>
                <w:rFonts w:ascii="Times New Roman" w:cs="Times New Roman" w:eastAsia="Times New Roman" w:hAnsi="Times New Roman"/>
                <w:i w:val="1"/>
                <w:smallCaps w:val="0"/>
                <w:strike w:val="0"/>
                <w:color w:val="000000"/>
                <w:sz w:val="26"/>
                <w:szCs w:val="26"/>
                <w:highlight w:val="cyan"/>
                <w:u w:val="none"/>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5"/>
                <w:szCs w:val="25"/>
                <w:highlight w:val="cyan"/>
                <w:u w:val="none"/>
                <w:vertAlign w:val="baseline"/>
                <w:rtl w:val="0"/>
              </w:rPr>
              <w:t xml:space="preserve">студентський парламент, студентська профспілка)</w:t>
            </w:r>
            <w:r w:rsidDel="00000000" w:rsidR="00000000" w:rsidRPr="00000000">
              <w:rPr>
                <w:rFonts w:ascii="Cousine" w:cs="Cousine" w:eastAsia="Cousine" w:hAnsi="Cousine"/>
                <w:b w:val="0"/>
                <w:i w:val="1"/>
                <w:smallCaps w:val="0"/>
                <w:strike w:val="0"/>
                <w:color w:val="000000"/>
                <w:sz w:val="25"/>
                <w:szCs w:val="25"/>
                <w:highlight w:val="cyan"/>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у роботі факультетських/інститутських  науково-методичних комісій і вчених рад при розгляді внесення змін до програм.</w:t>
              <w:br w:type="textWrapp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Можна доповнити інформацією про те, що у Положенні про студентське самоврядування КНУТШ </w:t>
            </w:r>
            <w:hyperlink r:id="rId93">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https://cutt.ly/jYVxgFT</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 відома: у 2021 році у студпарламенті КНУ був створений Департамент соціологічних досліджень </w:t>
            </w:r>
            <w:hyperlink r:id="rId94">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http://sp.knu.ua/wp-content/uploads/2021/06/розпорядження-114.pdf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який безпосередньо може ініціювати збір інформації про якість ОП, викладання дисциплін та ін.</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0"/>
                <w:tab w:val="left" w:pos="2840"/>
                <w:tab w:val="left" w:pos="4440"/>
                <w:tab w:val="left" w:pos="4960"/>
                <w:tab w:val="left" w:pos="6320"/>
                <w:tab w:val="left" w:pos="7680"/>
                <w:tab w:val="left" w:pos="8200"/>
              </w:tabs>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w:t>
              <w:tab/>
              <w:t xml:space="preserve">із</w:t>
              <w:tab/>
              <w:t xml:space="preserve">посиланням</w:t>
              <w:tab/>
              <w:t xml:space="preserve">на</w:t>
              <w:tab/>
              <w:t xml:space="preserve">конкретні</w:t>
              <w:tab/>
              <w:t xml:space="preserve">приклади,</w:t>
              <w:tab/>
              <w:t xml:space="preserve">як</w:t>
              <w:tab/>
              <w:t xml:space="preserve">роботодавці</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безпосередньо</w:t>
              <w:tab/>
              <w:t xml:space="preserve">або</w:t>
              <w:tab/>
              <w:t xml:space="preserve">через</w:t>
              <w:tab/>
              <w:t xml:space="preserve">свої</w:t>
              <w:tab/>
              <w:t xml:space="preserve">об’єднання</w:t>
              <w:tab/>
              <w:t xml:space="preserve">залучені</w:t>
              <w:tab/>
              <w:t xml:space="preserve">до</w:t>
              <w:tab/>
              <w:t xml:space="preserve">процесу періодичного перегляду ОП та інших процедур забезпечення її якості</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Коротке поле</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Наводиться інформація про участь роботодавців саме у перегляді ОП. </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ЗАСТЕРЕЖЕННЯ! У ЦЬОМУ ПУНКТІ НЕ НАВОДИТЬСЯ ІНФОРМАЦІЯ ПРО ЗАЛУЧЕННЯ РОБОТОДАВЦІВ ДО ЧИТАННЯ ЛЕКЦІЙ, ПРОВЕДЕННЯ СЕМІНАРІВ ТОЩО.</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посилатися на Положення про ради роботодавців у КНУТШ </w:t>
            </w:r>
            <w:hyperlink r:id="rId95">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http://senate.univ.kiev.ua/?p=1466</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практику збирання та врахування інформації щодо кар’єрного шляху та</w:t>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траєкторій працевлаштування випускників ОП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Коротке поле</w:t>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0" w:right="49"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0" w:right="49"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Calibri" w:cs="Calibri" w:eastAsia="Calibri" w:hAnsi="Calibri"/>
                <w:b w:val="0"/>
                <w:i w:val="0"/>
                <w:smallCaps w:val="0"/>
                <w:strike w:val="0"/>
                <w:color w:val="c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Також не є доброю практикою, коли впроваджуються будь-чиї пропозиції (студентів, викладачів, роботодавців) без аналізу і обговорення.</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що результати зовнішнього забезпечення якості вищої освіти</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left" w:pos="1680"/>
                <w:tab w:val="left" w:pos="3160"/>
                <w:tab w:val="left" w:pos="3600"/>
                <w:tab w:val="left" w:pos="5140"/>
                <w:tab w:val="left" w:pos="6020"/>
                <w:tab w:val="left" w:pos="6600"/>
                <w:tab w:val="left" w:pos="7340"/>
                <w:tab w:val="left" w:pos="8640"/>
                <w:tab w:val="left" w:pos="9180"/>
              </w:tabs>
              <w:spacing w:after="0" w:before="3" w:line="259" w:lineRule="auto"/>
              <w:ind w:left="0" w:right="5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освітні програми</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Можна зазначити, що були проаналізовані/взяті до уваги рекомендації за результатами акредитацій інших освітніх програм університету.</w:t>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red"/>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Можна також зазначити, що були взяті до уваги аналізи результатів акредитацій освітніх програм  КНУТШ у 2019/2020 н.р. </w:t>
            </w:r>
            <w:hyperlink r:id="rId9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http://senate.univ.kiev.ua/?p=1650</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у 2020/2021 н.р. </w:t>
            </w:r>
            <w:hyperlink r:id="rId9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http://senate.univ.kiev.ua/?p=1894</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та у 2021/2022 н.р. </w:t>
            </w:r>
            <w:hyperlink r:id="rId98">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http://senate.univ.kiev.ua/?p=2123</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 які розглядались на засіданнях Вченої ради і розсилалися на факультети/інститути.</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учасники академічної спільноти змістовно залучені до</w:t>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процедур внутрішнього забезпечення якості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зазначити, що згідно розділу 1.3. Положенням про систему забезпечення якості освіти та освітнього процесу у КНУТШ  </w:t>
            </w:r>
            <w:hyperlink r:id="rId9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https://knu.ua/pdfs/official/Quality-assurance-system-of-education-and-educational-process.pdf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r w:rsidDel="00000000" w:rsidR="00000000" w:rsidRPr="00000000">
              <w:rPr>
                <w:rtl w:val="0"/>
              </w:rPr>
            </w:r>
          </w:p>
          <w:p w:rsidR="00000000" w:rsidDel="00000000" w:rsidP="00000000" w:rsidRDefault="00000000" w:rsidRPr="00000000" w14:paraId="0000025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Перший рівень – здобувачі освіти та їх ініціативні групи (моніторинг питань інформаційного супроводу здобувачів освіти). </w:t>
            </w:r>
            <w:r w:rsidDel="00000000" w:rsidR="00000000" w:rsidRPr="00000000">
              <w:rPr>
                <w:rtl w:val="0"/>
              </w:rPr>
            </w:r>
          </w:p>
          <w:p w:rsidR="00000000" w:rsidDel="00000000" w:rsidP="00000000" w:rsidRDefault="00000000" w:rsidRPr="00000000" w14:paraId="0000025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Другий рівень – кафедри, гаранти ОП, проєктні групи, викладачі, роботодавці (формування, реалізація, моніторинг ОП, рівень на якому безпосередньо забезпечується якість освіти). </w:t>
            </w:r>
            <w:r w:rsidDel="00000000" w:rsidR="00000000" w:rsidRPr="00000000">
              <w:rPr>
                <w:rtl w:val="0"/>
              </w:rPr>
            </w:r>
          </w:p>
          <w:p w:rsidR="00000000" w:rsidDel="00000000" w:rsidP="00000000" w:rsidRDefault="00000000" w:rsidRPr="00000000" w14:paraId="0000025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r w:rsidDel="00000000" w:rsidR="00000000" w:rsidRPr="00000000">
              <w:rPr>
                <w:rtl w:val="0"/>
              </w:rPr>
            </w:r>
          </w:p>
          <w:p w:rsidR="00000000" w:rsidDel="00000000" w:rsidP="00000000" w:rsidRDefault="00000000" w:rsidRPr="00000000" w14:paraId="0000025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Четвертий рівень – загальноуніверситетські структурні підрозділи, що відповідають або залучені до реалізації заходів із забезпечення якості, дорадчі органи (розроблення й апробація загальноуніверситетських рішень, документів, процедур, проектів). </w:t>
            </w: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П’ятий рівень – Наглядова Рада, Ректор, Вчена рада (прийняття загальноуніверситетських рішень щодо стратегії, політики і конкретних заходів забезпечення якості освіти, затвердження і закриття ОП). </w:t>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100">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https://www.facebook.com/department.quality</w:t>
              </w:r>
            </w:hyperlink>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w:t>
            </w:r>
            <w:r w:rsidDel="00000000" w:rsidR="00000000" w:rsidRPr="00000000">
              <w:rPr>
                <w:rtl w:val="0"/>
              </w:rPr>
            </w:r>
          </w:p>
        </w:tc>
      </w:tr>
    </w:tbl>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 Прозорість і публічність</w:t>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00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20"/>
        <w:tblGridChange w:id="0">
          <w:tblGrid>
            <w:gridCol w:w="10020"/>
          </w:tblGrid>
        </w:tblGridChange>
      </w:tblGrid>
      <w:tr>
        <w:trPr>
          <w:cantSplit w:val="0"/>
          <w:tblHeader w:val="0"/>
        </w:trPr>
        <w:tc>
          <w:tcP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Доцільно посилатися на такі документи:</w:t>
            </w:r>
            <w:r w:rsidDel="00000000" w:rsidR="00000000" w:rsidRPr="00000000">
              <w:rPr>
                <w:rtl w:val="0"/>
              </w:rPr>
            </w:r>
          </w:p>
          <w:p w:rsidR="00000000" w:rsidDel="00000000" w:rsidP="00000000" w:rsidRDefault="00000000" w:rsidRPr="00000000" w14:paraId="000002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23"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101">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Статут Київського національного університету імені Тараса Шевченка</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102">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https://knu.ua/pdfs/official/must-published/statut-22-02-17.pdf</w:t>
              </w:r>
            </w:hyperlink>
            <w:r w:rsidDel="00000000" w:rsidR="00000000" w:rsidRPr="00000000">
              <w:rPr>
                <w:rtl w:val="0"/>
              </w:rPr>
            </w:r>
          </w:p>
          <w:p w:rsidR="00000000" w:rsidDel="00000000" w:rsidP="00000000" w:rsidRDefault="00000000" w:rsidRPr="00000000" w14:paraId="000002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23"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103">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Київському національному університеті імені Тараса Шевченка</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104">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https://knu.ua/pdfs/official/Polozhennia-pro-organizatsiyu-osvitniogo-procesu-11_04_2022.pdf</w:t>
              </w:r>
            </w:hyperlink>
            <w:r w:rsidDel="00000000" w:rsidR="00000000" w:rsidRPr="00000000">
              <w:rPr>
                <w:rtl w:val="0"/>
              </w:rPr>
            </w:r>
          </w:p>
          <w:p w:rsidR="00000000" w:rsidDel="00000000" w:rsidP="00000000" w:rsidRDefault="00000000" w:rsidRPr="00000000" w14:paraId="000002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105">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систему забезпечення якості освіти та освітнього процесу в Київському національному університеті імені Тараса Шевченка</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10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https://knu.ua/pdfs/official/Quality-assurance-system-of-education-and-educational-process.pdf</w:t>
              </w:r>
            </w:hyperlink>
            <w:r w:rsidDel="00000000" w:rsidR="00000000" w:rsidRPr="00000000">
              <w:rPr>
                <w:rtl w:val="0"/>
              </w:rPr>
            </w:r>
          </w:p>
          <w:p w:rsidR="00000000" w:rsidDel="00000000" w:rsidP="00000000" w:rsidRDefault="00000000" w:rsidRPr="00000000" w14:paraId="000002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lnxbz9" w:id="25"/>
            <w:bookmarkEnd w:id="25"/>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Етичний кодекс університетської спільноти </w:t>
            </w:r>
            <w:hyperlink r:id="rId10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https://www.knu.ua/pdfs/official/ethical-code/Ethical-code-of-the-university-community.pdf</w:t>
              </w:r>
            </w:hyperlink>
            <w:r w:rsidDel="00000000" w:rsidR="00000000" w:rsidRPr="00000000">
              <w:rPr>
                <w:rtl w:val="0"/>
              </w:rPr>
            </w:r>
          </w:p>
          <w:p w:rsidR="00000000" w:rsidDel="00000000" w:rsidP="00000000" w:rsidRDefault="00000000" w:rsidRPr="00000000" w14:paraId="0000026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2oqu5o35z79g" w:id="26"/>
            <w:bookmarkEnd w:id="26"/>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Порядок вирішення конфліктних ситуацій у </w:t>
            </w:r>
            <w:hyperlink r:id="rId108">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Київському національному університеті імені Тараса Шевченка</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10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https://www.knu.ua/pdfs/official/Procedure-for-resolving-conflict-situations-in-University.pdf</w:t>
              </w:r>
            </w:hyperlink>
            <w:r w:rsidDel="00000000" w:rsidR="00000000" w:rsidRPr="00000000">
              <w:rPr>
                <w:rtl w:val="0"/>
              </w:rPr>
            </w:r>
          </w:p>
          <w:p w:rsidR="00000000" w:rsidDel="00000000" w:rsidP="00000000" w:rsidRDefault="00000000" w:rsidRPr="00000000" w14:paraId="0000026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hm9hjsmvehq5" w:id="27"/>
            <w:bookmarkEnd w:id="27"/>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гаранта освітньої програми в </w:t>
            </w:r>
            <w:hyperlink r:id="rId110">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Київському національному університеті імені Тараса Шевченка</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111">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http://senate.univ.kiev.ua/?p=1678</w:t>
              </w:r>
            </w:hyperlink>
            <w:r w:rsidDel="00000000" w:rsidR="00000000" w:rsidRPr="00000000">
              <w:rPr>
                <w:rtl w:val="0"/>
              </w:rPr>
            </w:r>
          </w:p>
          <w:p w:rsidR="00000000" w:rsidDel="00000000" w:rsidP="00000000" w:rsidRDefault="00000000" w:rsidRPr="00000000" w14:paraId="0000026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Правила внутрішнього розпорядку у студентських гуртожитках Київського національного університету імені Тараса Шевченка </w:t>
            </w:r>
            <w:hyperlink r:id="rId112">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https://studmisto.knu.ua/management/documents/regulation-documents/257-pravyla-vnutrishnoho-rozporiadku</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(стейкхолдерів). Адреса веб-сторінки</w:t>
            </w: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Стосується проєктів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Наводяться посилання на опис освітньої програми у відкритому доступі.</w:t>
            </w:r>
            <w:r w:rsidDel="00000000" w:rsidR="00000000" w:rsidRPr="00000000">
              <w:rPr>
                <w:rtl w:val="0"/>
              </w:rPr>
            </w:r>
          </w:p>
        </w:tc>
      </w:tr>
    </w:tbl>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 Навчання через дослідження</w:t>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Заповнюється лише для ОП третього (освітньо-наукового) рівня</w:t>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cyan"/>
          <w:u w:val="none"/>
          <w:vertAlign w:val="baseline"/>
          <w:rtl w:val="0"/>
        </w:rPr>
        <w:t xml:space="preserve">Для 10 критерію рекомендуємо взяти до уваги презентацію М. Винницького (надсилаємо окремо)</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8"/>
        <w:tblW w:w="100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31"/>
        <w:tblGridChange w:id="0">
          <w:tblGrid>
            <w:gridCol w:w="10031"/>
          </w:tblGrid>
        </w:tblGridChange>
      </w:tblGrid>
      <w:tr>
        <w:trPr>
          <w:cantSplit w:val="0"/>
          <w:tblHeader w:val="0"/>
        </w:trPr>
        <w:tc>
          <w:tcP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Продемонструйте, що зміст освітньо-наукової програми відповідає науковим інтересам аспірантів (ад’юнктів)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Опишіть, яким чином зміст освітньо-наукової програми забезпечує повноцінну підготовку здобувачів вищої освіти до дослідницької діяльності за спеціальністю та/або галуззю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Опишіть, яким чином зміст освітньо-наукової програми забезпечує повноцінну підготовку здобувачів вищої освіти до викладацької діяльності у закладах вищої освіти за спеціальністю та/або галуззю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Продемонструйте дотичність тем наукових досліджень аспірантів (ад’юнктів) напрямам досліджень наукових керівників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Опишіть з посиланням на конкретні приклади, як ЗВО організаційно та матеріально</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забезпечує в межах освітньо-наукової програми можливості для проведення і апробації результатів наукових досліджень аспірантів (ад’юнктів)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Проаналізуйте, як ЗВО забезпечує можливості для долучення аспірантів (ад’юнктів)</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 міжнародної академічної спільноти за спеціальністю, наведіть конкретні проекти та заходи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00"/>
                <w:tab w:val="left" w:pos="2240"/>
                <w:tab w:val="left" w:pos="3500"/>
                <w:tab w:val="left" w:pos="4900"/>
                <w:tab w:val="left" w:pos="6260"/>
                <w:tab w:val="left" w:pos="6620"/>
                <w:tab w:val="left" w:pos="8480"/>
              </w:tabs>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Опишіть</w:t>
              <w:tab/>
              <w:t xml:space="preserve">участь</w:t>
              <w:tab/>
              <w:t xml:space="preserve">наукових</w:t>
              <w:tab/>
              <w:t xml:space="preserve">керівників</w:t>
              <w:tab/>
              <w:t xml:space="preserve">аспірантів</w:t>
              <w:tab/>
              <w:t xml:space="preserve">у</w:t>
              <w:tab/>
              <w:t xml:space="preserve">дослідницьких</w:t>
              <w:tab/>
              <w:t xml:space="preserve">проектах,</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left" w:pos="2280"/>
                <w:tab w:val="left" w:pos="3640"/>
                <w:tab w:val="left" w:pos="5380"/>
                <w:tab w:val="left" w:pos="6300"/>
                <w:tab w:val="left" w:pos="7680"/>
              </w:tabs>
              <w:spacing w:after="0" w:before="4"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результати</w:t>
              <w:tab/>
              <w:t xml:space="preserve">яких</w:t>
              <w:tab/>
              <w:t xml:space="preserve">регулярно</w:t>
              <w:tab/>
              <w:t xml:space="preserve">публікуються</w:t>
              <w:tab/>
              <w:t xml:space="preserve">та/або</w:t>
              <w:tab/>
              <w:t xml:space="preserve">практично</w:t>
              <w:tab/>
              <w:t xml:space="preserve">впроваджуються</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5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Опишіть  чинні  практики  дотримання  академічної  доброчесності  у  науковій</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Діяльності наукових керівників та аспірантів (ад’юнктів)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Продемонструйте, що ЗВО вживає заходів для виключення можливості здійснення наукового керівництва особами, які вчинили порушення академічної доброчесності коротке поле</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Перспективи подальшого розвитку ОП</w:t>
      </w: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9"/>
        <w:tblW w:w="100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31"/>
        <w:tblGridChange w:id="0">
          <w:tblGrid>
            <w:gridCol w:w="10031"/>
          </w:tblGrid>
        </w:tblGridChange>
      </w:tblGrid>
      <w:tr>
        <w:trPr>
          <w:cantSplit w:val="0"/>
          <w:tblHeader w:val="0"/>
        </w:trPr>
        <w:tc>
          <w:tcP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Якими загалом є сильні та слабкі сторони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 сильні сторони зазначаються кращі практики, які є на даній освітній програмі.</w:t>
            </w: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Слабкі сторони можна не зазначати, це не є недоліком. В жодному разі не доцільно наводити інформацію про недостатнє фінансування, матеріальне забезпечення, кадрові проблеми, критичну застарілість обладнання, програмного забезпечення тощо. Такі факти можуть ставити під сумнів можливість досягти цілей освітньої програми.</w:t>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red"/>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слабкі сторони наведені, то у відповідь на питання наступного пункту необхідно зазначити заходи, які планує здійснювати ЗВО, для покращення відповідних позицій.</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Якими є перспективи розвитку ОП упродовж найближчих 3 років? Які конкретні заходи ЗВО планує здійснити задля реалізації цих перспектив?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моніторити не тільки експерти НАЗЯВО під час наступної акредитації, але й фахівці державної служби якості освіти тощо.</w:t>
            </w:r>
            <w:r w:rsidDel="00000000" w:rsidR="00000000" w:rsidRPr="00000000">
              <w:rPr>
                <w:rtl w:val="0"/>
              </w:rPr>
            </w:r>
          </w:p>
        </w:tc>
      </w:tr>
    </w:tbl>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Запевнення</w:t>
      </w: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00"/>
        </w:tabs>
        <w:spacing w:after="0" w:before="70" w:line="259" w:lineRule="auto"/>
        <w:ind w:left="120" w:right="55" w:firstLine="71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00"/>
        </w:tabs>
        <w:spacing w:after="0" w:before="70" w:line="259" w:lineRule="auto"/>
        <w:ind w:left="120" w:right="55" w:firstLine="71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Запевняємо, що уся інформація, наведена у звіті та доданих до нього документах, є достовірною.</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Гарантуємо, що ЗВО за запитом експертної групи надасть будь-які документи</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880"/>
          <w:tab w:val="left" w:pos="3460"/>
          <w:tab w:val="left" w:pos="4020"/>
          <w:tab w:val="left" w:pos="5420"/>
          <w:tab w:val="left" w:pos="6640"/>
          <w:tab w:val="left" w:pos="7900"/>
          <w:tab w:val="left" w:pos="8780"/>
        </w:tabs>
        <w:spacing w:after="0" w:before="3" w:line="259" w:lineRule="auto"/>
        <w:ind w:left="120" w:right="5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w:t>
        <w:tab/>
        <w:t xml:space="preserve">додаткову</w:t>
        <w:tab/>
        <w:t xml:space="preserve">інформацію,</w:t>
        <w:tab/>
        <w:t xml:space="preserve">яка</w:t>
        <w:tab/>
        <w:t xml:space="preserve">стосується</w:t>
        <w:tab/>
        <w:t xml:space="preserve">освітньої</w:t>
        <w:tab/>
        <w:t xml:space="preserve">програми</w:t>
        <w:tab/>
        <w:t xml:space="preserve">та/або</w:t>
        <w:tab/>
        <w:t xml:space="preserve">освітньої діяльності за цією освітньою програмою.</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00"/>
          <w:tab w:val="left" w:pos="2820"/>
          <w:tab w:val="left" w:pos="3300"/>
          <w:tab w:val="left" w:pos="5000"/>
          <w:tab w:val="left" w:pos="5440"/>
          <w:tab w:val="left" w:pos="7300"/>
          <w:tab w:val="left" w:pos="7940"/>
          <w:tab w:val="left" w:pos="9400"/>
        </w:tabs>
        <w:spacing w:after="0" w:before="0" w:line="259" w:lineRule="auto"/>
        <w:ind w:left="8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Надаємо</w:t>
        <w:tab/>
        <w:t xml:space="preserve">згоду</w:t>
        <w:tab/>
        <w:t xml:space="preserve">на</w:t>
        <w:tab/>
        <w:t xml:space="preserve">опрацювання</w:t>
        <w:tab/>
        <w:t xml:space="preserve">та</w:t>
        <w:tab/>
        <w:t xml:space="preserve">оприлюднення</w:t>
        <w:tab/>
        <w:t xml:space="preserve">цих</w:t>
        <w:tab/>
        <w:t xml:space="preserve">відомостей</w:t>
        <w:tab/>
        <w:t xml:space="preserve">про</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120" w:right="5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самооцінювання та усіх доданих до нього документів у повному обсязі у відкритому доступі.</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Додатки:</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831" w:right="202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Таблиця1.Інформація про обов’язкові освітні компоненти ОП Таблиця2.Зведена інформація про викладачів ОП</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Таблиця3.Матриця відповідності програмних результатів навчання, освітніх</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компонентів, методів навчання та оцінювання</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53" w:firstLine="71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Документ  підписаний  кваліфікованим електронним підписом/кваліфікованою електронною печаткою.</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Керівник ЗВО</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&lt;ПІБ керівника ЗВО&gt;</w:t>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__________________________________________________________________________</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20" w:firstLine="0"/>
        <w:jc w:val="left"/>
        <w:rPr>
          <w:rFonts w:ascii="Times New Roman" w:cs="Times New Roman" w:eastAsia="Times New Roman" w:hAnsi="Times New Roman"/>
          <w:b w:val="0"/>
          <w:i w:val="0"/>
          <w:smallCaps w:val="0"/>
          <w:strike w:val="0"/>
          <w:color w:val="000000"/>
          <w:sz w:val="26"/>
          <w:szCs w:val="26"/>
          <w:highlight w:val="red"/>
          <w:u w:val="none"/>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0" w:right="0" w:firstLine="0"/>
        <w:jc w:val="both"/>
        <w:rPr>
          <w:rFonts w:ascii="Times New Roman" w:cs="Times New Roman" w:eastAsia="Times New Roman" w:hAnsi="Times New Roman"/>
          <w:b w:val="0"/>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cyan"/>
          <w:u w:val="none"/>
          <w:vertAlign w:val="baseline"/>
          <w:rtl w:val="0"/>
        </w:rPr>
        <w:t xml:space="preserve">УКЛАДАЧІ РЕКОМЕНДАЦІЙ: </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0" w:right="0" w:firstLine="0"/>
        <w:jc w:val="both"/>
        <w:rPr>
          <w:rFonts w:ascii="Times New Roman" w:cs="Times New Roman" w:eastAsia="Times New Roman" w:hAnsi="Times New Roman"/>
          <w:b w:val="0"/>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cyan"/>
          <w:u w:val="none"/>
          <w:vertAlign w:val="baseline"/>
          <w:rtl w:val="0"/>
        </w:rPr>
        <w:t xml:space="preserve">Проректор з науково-педагогічної роботи</w:t>
        <w:tab/>
        <w:tab/>
        <w:tab/>
        <w:tab/>
        <w:t xml:space="preserve">А. Гожик</w:t>
      </w: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cyan"/>
          <w:u w:val="none"/>
          <w:vertAlign w:val="baseline"/>
          <w:rtl w:val="0"/>
        </w:rPr>
        <w:t xml:space="preserve">Керівник відділу забезпечення якості освіти</w:t>
        <w:tab/>
        <w:tab/>
        <w:tab/>
        <w:tab/>
        <w:t xml:space="preserve">Д. Щеглюк</w:t>
      </w: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cyan"/>
          <w:u w:val="none"/>
          <w:vertAlign w:val="baseline"/>
          <w:rtl w:val="0"/>
        </w:rPr>
        <w:t xml:space="preserve">Методист в. к. відділу забезпечення якості освіти</w:t>
        <w:tab/>
        <w:tab/>
        <w:tab/>
        <w:t xml:space="preserve">О. Хруцька</w:t>
      </w: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cyan"/>
          <w:u w:val="none"/>
          <w:vertAlign w:val="baseline"/>
          <w:rtl w:val="0"/>
        </w:rPr>
        <w:t xml:space="preserve">Провідний фахівець відділу забезпечення якості освіти</w:t>
        <w:tab/>
        <w:tab/>
        <w:t xml:space="preserve">Г. Коржевська </w:t>
      </w: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footerReference r:id="rId113" w:type="default"/>
          <w:pgSz w:h="15840" w:w="12240" w:orient="portrait"/>
          <w:pgMar w:bottom="1134" w:top="1134" w:left="1701" w:right="616" w:header="708" w:footer="340"/>
          <w:pgNumType w:start="1"/>
        </w:sect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59" w:lineRule="auto"/>
        <w:ind w:left="0" w:right="1201"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Додаток</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59" w:lineRule="auto"/>
        <w:ind w:left="944"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Таблиця1.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Інформація про обов’язкові освітні компоненти ОП</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13609.0" w:type="dxa"/>
        <w:jc w:val="left"/>
        <w:tblInd w:w="-421.0" w:type="dxa"/>
        <w:tblLayout w:type="fixed"/>
        <w:tblLook w:val="0000"/>
      </w:tblPr>
      <w:tblGrid>
        <w:gridCol w:w="3120"/>
        <w:gridCol w:w="2494"/>
        <w:gridCol w:w="2835"/>
        <w:gridCol w:w="5160"/>
        <w:tblGridChange w:id="0">
          <w:tblGrid>
            <w:gridCol w:w="3120"/>
            <w:gridCol w:w="2494"/>
            <w:gridCol w:w="2835"/>
            <w:gridCol w:w="5160"/>
          </w:tblGrid>
        </w:tblGridChange>
      </w:tblGrid>
      <w:tr>
        <w:trPr>
          <w:cantSplit w:val="0"/>
          <w:trHeight w:val="156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79" w:right="114" w:hanging="30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Назва освітнього компонента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39"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Вид компонента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57" w:right="-57" w:hanging="5"/>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Поле для завантаження</w:t>
            </w: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силабуса або інших</w:t>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57" w:right="-57" w:hanging="9.00000000000000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навчально- методичних матеріалів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1" w:right="4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Якщо освітній компонент потребує спеціального матеріально-технічного та/або інформаційного забезпечення, наведіть відомості щодо нього*</w:t>
            </w: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233" w:right="1160" w:firstLine="71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4"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Таблиця2.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Зведена інформація про викладачів</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9"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13925.0" w:type="dxa"/>
        <w:jc w:val="left"/>
        <w:tblInd w:w="-562.0" w:type="dxa"/>
        <w:tblLayout w:type="fixed"/>
        <w:tblLook w:val="0000"/>
      </w:tblPr>
      <w:tblGrid>
        <w:gridCol w:w="2127"/>
        <w:gridCol w:w="1842"/>
        <w:gridCol w:w="1985"/>
        <w:gridCol w:w="1984"/>
        <w:gridCol w:w="1792"/>
        <w:gridCol w:w="2127"/>
        <w:gridCol w:w="2068"/>
        <w:tblGridChange w:id="0">
          <w:tblGrid>
            <w:gridCol w:w="2127"/>
            <w:gridCol w:w="1842"/>
            <w:gridCol w:w="1985"/>
            <w:gridCol w:w="1984"/>
            <w:gridCol w:w="1792"/>
            <w:gridCol w:w="2127"/>
            <w:gridCol w:w="2068"/>
          </w:tblGrid>
        </w:tblGridChange>
      </w:tblGrid>
      <w:tr>
        <w:trPr>
          <w:cantSplit w:val="0"/>
          <w:trHeight w:val="125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9"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ПІБ викладача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599"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Посада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76" w:right="166"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Структурний</w:t>
            </w: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9" w:lineRule="auto"/>
              <w:ind w:left="154" w:right="139" w:hanging="5"/>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підрозділ, у якому працює викладач</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Інформація</w:t>
            </w: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 кваліфікацію викладача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Стаж науково-</w:t>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педагогічної роботи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Навчальні</w:t>
            </w: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дисципліни, що їх викладає викладач на ОП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Обґрунтування</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7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Вказується спеціальність за дипломом про вищу освіту, диплому про здобуття наукового ступеню. Також вказується атестат про вчене звання.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Вказується чому даний викладач викладає ті дисципліни освітньої програми, які зазначені у таблиці 1.</w:t>
            </w:r>
            <w:r w:rsidDel="00000000" w:rsidR="00000000" w:rsidRPr="00000000">
              <w:rPr>
                <w:rtl w:val="0"/>
              </w:rPr>
            </w:r>
          </w:p>
        </w:tc>
      </w:tr>
    </w:tbl>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44"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2240" w:w="15840" w:orient="landscape"/>
          <w:pgMar w:bottom="1134" w:top="1134" w:left="1701" w:right="567" w:header="708" w:footer="708"/>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Обґрунтування зазначається окремо щодо кожної дисципліни, яку викладає викладач.</w:t>
      </w: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9"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3" w:right="938" w:firstLine="71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Таблиця3.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Матриця відповідності програмних результатів навчання, освітніх компонентів, методів навчання та оцінювання</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9"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13325.0" w:type="dxa"/>
        <w:jc w:val="left"/>
        <w:tblInd w:w="5.0" w:type="dxa"/>
        <w:tblLayout w:type="fixed"/>
        <w:tblLook w:val="0000"/>
      </w:tblPr>
      <w:tblGrid>
        <w:gridCol w:w="3828"/>
        <w:gridCol w:w="4677"/>
        <w:gridCol w:w="4820"/>
        <w:tblGridChange w:id="0">
          <w:tblGrid>
            <w:gridCol w:w="3828"/>
            <w:gridCol w:w="4677"/>
            <w:gridCol w:w="4820"/>
          </w:tblGrid>
        </w:tblGridChange>
      </w:tblGrid>
      <w:tr>
        <w:trPr>
          <w:cantSplit w:val="0"/>
          <w:trHeight w:val="312" w:hRule="atLeast"/>
          <w:tblHeader w:val="0"/>
        </w:trPr>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5387" w:right="53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&lt;Назва освітнього компонента&gt;</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69"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Результати навчання</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Методи навчання</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416"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 оцінювання</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44"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Для кожного освітнього компонента заповнюється окрема таблиця.</w:t>
      </w:r>
      <w:r w:rsidDel="00000000" w:rsidR="00000000" w:rsidRPr="00000000">
        <w:rPr>
          <w:rtl w:val="0"/>
        </w:rPr>
      </w:r>
    </w:p>
    <w:sectPr>
      <w:type w:val="nextPage"/>
      <w:pgSz w:h="12240" w:w="15840" w:orient="landscape"/>
      <w:pgMar w:bottom="1134" w:top="1134" w:left="1701" w:right="56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sset">
    <w:embedRegular w:fontKey="{00000000-0000-0000-0000-000000000000}" r:id="rId5" w:subsetted="0"/>
  </w:font>
  <w:font w:name="Helvetica Neue">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0"/>
      <w:spacing w:after="160" w:line="259" w:lineRule="auto"/>
      <w:ind w:left="-1" w:leftChars="-1" w:rightChars="0" w:hanging="1" w:firstLineChars="-1"/>
      <w:textDirection w:val="lrTb"/>
      <w:textAlignment w:val="top"/>
      <w:outlineLvl w:val="0"/>
    </w:pPr>
    <w:rPr>
      <w:w w:val="100"/>
      <w:position w:val="-1"/>
      <w:sz w:val="22"/>
      <w:szCs w:val="22"/>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suppressAutoHyphens w:val="0"/>
      <w:spacing w:after="60" w:before="240" w:line="259" w:lineRule="auto"/>
      <w:ind w:left="-1" w:right="0" w:leftChars="-1" w:rightChars="0" w:hanging="1" w:firstLineChars="-1"/>
      <w:textDirection w:val="lrTb"/>
      <w:textAlignment w:val="top"/>
      <w:outlineLvl w:val="0"/>
    </w:pPr>
    <w:rPr>
      <w:rFonts w:ascii="Calibri Light" w:cs="Times New Roman" w:eastAsia="Times New Roman" w:hAnsi="Calibri Light"/>
      <w:b w:val="1"/>
      <w:bCs w:val="1"/>
      <w:w w:val="100"/>
      <w:kern w:val="32"/>
      <w:position w:val="-1"/>
      <w:sz w:val="32"/>
      <w:szCs w:val="32"/>
      <w:effect w:val="none"/>
      <w:vertAlign w:val="baseline"/>
      <w:cs w:val="0"/>
      <w:em w:val="none"/>
      <w:lang w:bidi="ar-SA" w:eastAsia="ru-RU" w:val="ru-RU"/>
    </w:rPr>
  </w:style>
  <w:style w:type="paragraph" w:styleId="Заголовок2">
    <w:name w:val="Заголовок 2"/>
    <w:basedOn w:val="Обычный"/>
    <w:next w:val="Заголовок2"/>
    <w:autoRedefine w:val="0"/>
    <w:hidden w:val="0"/>
    <w:qFormat w:val="0"/>
    <w:pPr>
      <w:suppressAutoHyphens w:val="0"/>
      <w:spacing w:after="100" w:afterAutospacing="1" w:before="100" w:beforeAutospacing="1" w:line="240" w:lineRule="auto"/>
      <w:ind w:left="-1" w:right="0" w:leftChars="-1" w:rightChars="0" w:hanging="1" w:firstLineChars="-1"/>
      <w:textDirection w:val="lrTb"/>
      <w:textAlignment w:val="top"/>
      <w:outlineLvl w:val="1"/>
    </w:pPr>
    <w:rPr>
      <w:rFonts w:ascii="Times New Roman" w:hAnsi="Times New Roman"/>
      <w:b w:val="1"/>
      <w:bCs w:val="1"/>
      <w:w w:val="100"/>
      <w:position w:val="-1"/>
      <w:sz w:val="36"/>
      <w:szCs w:val="36"/>
      <w:effect w:val="none"/>
      <w:vertAlign w:val="baseline"/>
      <w:cs w:val="0"/>
      <w:em w:val="none"/>
      <w:lang w:bidi="ar-SA" w:eastAsia="ru-RU" w:val="ru-RU"/>
    </w:rPr>
  </w:style>
  <w:style w:type="paragraph" w:styleId="Заголовок3">
    <w:name w:val="Заголовок 3"/>
    <w:basedOn w:val="normal"/>
    <w:next w:val="normal"/>
    <w:autoRedefine w:val="0"/>
    <w:hidden w:val="0"/>
    <w:qFormat w:val="0"/>
    <w:pPr>
      <w:keepNext w:val="1"/>
      <w:keepLines w:val="1"/>
      <w:pageBreakBefore w:val="0"/>
      <w:suppressAutoHyphens w:val="1"/>
      <w:spacing w:after="80" w:before="280" w:line="1" w:lineRule="atLeast"/>
      <w:ind w:leftChars="-1" w:rightChars="0" w:firstLineChars="-1"/>
      <w:textDirection w:val="btLr"/>
      <w:textAlignment w:val="top"/>
      <w:outlineLvl w:val="0"/>
    </w:pPr>
    <w:rPr>
      <w:b w:val="1"/>
      <w:w w:val="100"/>
      <w:position w:val="-1"/>
      <w:sz w:val="28"/>
      <w:szCs w:val="28"/>
      <w:effect w:val="none"/>
      <w:vertAlign w:val="baseline"/>
      <w:cs w:val="0"/>
      <w:em w:val="none"/>
      <w:lang w:bidi="ar-SA" w:eastAsia="ru-RU" w:val="uk-UA"/>
    </w:rPr>
  </w:style>
  <w:style w:type="paragraph" w:styleId="Заголовок4">
    <w:name w:val="Заголовок 4"/>
    <w:basedOn w:val="normal"/>
    <w:next w:val="normal"/>
    <w:autoRedefine w:val="0"/>
    <w:hidden w:val="0"/>
    <w:qFormat w:val="0"/>
    <w:pPr>
      <w:keepNext w:val="1"/>
      <w:keepLines w:val="1"/>
      <w:pageBreakBefore w:val="0"/>
      <w:suppressAutoHyphens w:val="1"/>
      <w:spacing w:after="40" w:before="240"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ru-RU" w:val="uk-UA"/>
    </w:rPr>
  </w:style>
  <w:style w:type="paragraph" w:styleId="Заголовок5">
    <w:name w:val="Заголовок 5"/>
    <w:basedOn w:val="normal"/>
    <w:next w:val="normal"/>
    <w:autoRedefine w:val="0"/>
    <w:hidden w:val="0"/>
    <w:qFormat w:val="0"/>
    <w:pPr>
      <w:keepNext w:val="1"/>
      <w:keepLines w:val="1"/>
      <w:pageBreakBefore w:val="0"/>
      <w:suppressAutoHyphens w:val="1"/>
      <w:spacing w:after="40" w:before="220" w:line="1" w:lineRule="atLeast"/>
      <w:ind w:leftChars="-1" w:rightChars="0" w:firstLineChars="-1"/>
      <w:textDirection w:val="btLr"/>
      <w:textAlignment w:val="top"/>
      <w:outlineLvl w:val="0"/>
    </w:pPr>
    <w:rPr>
      <w:b w:val="1"/>
      <w:w w:val="100"/>
      <w:position w:val="-1"/>
      <w:sz w:val="22"/>
      <w:szCs w:val="22"/>
      <w:effect w:val="none"/>
      <w:vertAlign w:val="baseline"/>
      <w:cs w:val="0"/>
      <w:em w:val="none"/>
      <w:lang w:bidi="ar-SA" w:eastAsia="ru-RU" w:val="uk-UA"/>
    </w:rPr>
  </w:style>
  <w:style w:type="paragraph" w:styleId="Заголовок6">
    <w:name w:val="Заголовок 6"/>
    <w:basedOn w:val="normal"/>
    <w:next w:val="normal"/>
    <w:autoRedefine w:val="0"/>
    <w:hidden w:val="0"/>
    <w:qFormat w:val="0"/>
    <w:pPr>
      <w:keepNext w:val="1"/>
      <w:keepLines w:val="1"/>
      <w:pageBreakBefore w:val="0"/>
      <w:suppressAutoHyphens w:val="1"/>
      <w:spacing w:after="40" w:before="200" w:line="1" w:lineRule="atLeast"/>
      <w:ind w:leftChars="-1" w:rightChars="0" w:firstLineChars="-1"/>
      <w:textDirection w:val="btLr"/>
      <w:textAlignment w:val="top"/>
      <w:outlineLvl w:val="0"/>
    </w:pPr>
    <w:rPr>
      <w:b w:val="1"/>
      <w:w w:val="100"/>
      <w:position w:val="-1"/>
      <w:sz w:val="20"/>
      <w:szCs w:val="20"/>
      <w:effect w:val="none"/>
      <w:vertAlign w:val="baseline"/>
      <w:cs w:val="0"/>
      <w:em w:val="none"/>
      <w:lang w:bidi="ar-SA" w:eastAsia="ru-RU" w:val="uk-UA"/>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normal0">
    <w:name w:val="normal"/>
    <w:next w:val="normal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style>
  <w:style w:type="table" w:styleId="TableNormal1">
    <w:name w:val="Table Normal"/>
    <w:next w:val="TableNormal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TableNormal1"/>
      <w:jc w:val="left"/>
    </w:tblPr>
  </w:style>
  <w:style w:type="paragraph" w:styleId="Название">
    <w:name w:val="Название"/>
    <w:basedOn w:val="normal"/>
    <w:next w:val="normal"/>
    <w:autoRedefine w:val="0"/>
    <w:hidden w:val="0"/>
    <w:qFormat w:val="0"/>
    <w:pPr>
      <w:keepNext w:val="1"/>
      <w:keepLines w:val="1"/>
      <w:pageBreakBefore w:val="0"/>
      <w:suppressAutoHyphens w:val="1"/>
      <w:spacing w:after="120" w:before="480" w:line="1" w:lineRule="atLeast"/>
      <w:ind w:leftChars="-1" w:rightChars="0" w:firstLineChars="-1"/>
      <w:textDirection w:val="btLr"/>
      <w:textAlignment w:val="top"/>
      <w:outlineLvl w:val="0"/>
    </w:pPr>
    <w:rPr>
      <w:b w:val="1"/>
      <w:w w:val="100"/>
      <w:position w:val="-1"/>
      <w:sz w:val="72"/>
      <w:szCs w:val="72"/>
      <w:effect w:val="none"/>
      <w:vertAlign w:val="baseline"/>
      <w:cs w:val="0"/>
      <w:em w:val="none"/>
      <w:lang w:bidi="ar-SA" w:eastAsia="ru-RU" w:val="uk-UA"/>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TableNormal"/>
      <w:jc w:val="left"/>
    </w:tbl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paragraph" w:styleId="Обычный(веб)">
    <w:name w:val="Обычный (веб)"/>
    <w:basedOn w:val="Обычный"/>
    <w:next w:val="Обычный(веб)"/>
    <w:autoRedefine w:val="0"/>
    <w:hidden w:val="0"/>
    <w:qFormat w:val="0"/>
    <w:pPr>
      <w:suppressAutoHyphens w:val="0"/>
      <w:spacing w:after="100" w:afterAutospacing="1" w:before="100" w:beforeAutospacing="1" w:line="240" w:lineRule="auto"/>
      <w:ind w:left="-1" w:right="0" w:leftChars="-1" w:rightChars="0" w:hanging="1" w:firstLineChars="-1"/>
      <w:textDirection w:val="lrTb"/>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0"/>
    <w:pPr>
      <w:suppressAutoHyphens w:val="0"/>
      <w:spacing w:after="160" w:line="259" w:lineRule="auto"/>
      <w:ind w:left="-1" w:right="0" w:leftChars="-1" w:rightChars="0" w:hanging="1" w:firstLineChars="-1"/>
      <w:textDirection w:val="lrTb"/>
      <w:textAlignment w:val="top"/>
      <w:outlineLvl w:val="0"/>
    </w:pPr>
    <w:rPr>
      <w:w w:val="100"/>
      <w:position w:val="-1"/>
      <w:sz w:val="22"/>
      <w:szCs w:val="22"/>
      <w:effect w:val="none"/>
      <w:vertAlign w:val="baseline"/>
      <w:cs w:val="0"/>
      <w:em w:val="none"/>
      <w:lang w:bidi="ar-SA" w:eastAsia="ru-RU" w:val="ru-RU"/>
    </w:rPr>
  </w:style>
  <w:style w:type="character" w:styleId="ВерхнийколонтитулЗнак">
    <w:name w:val="Верхний колонтитул Знак"/>
    <w:next w:val="ВерхнийколонтитулЗнак"/>
    <w:autoRedefine w:val="0"/>
    <w:hidden w:val="0"/>
    <w:qFormat w:val="0"/>
    <w:rPr>
      <w:w w:val="100"/>
      <w:position w:val="-1"/>
      <w:sz w:val="22"/>
      <w:szCs w:val="22"/>
      <w:effect w:val="none"/>
      <w:vertAlign w:val="baseline"/>
      <w:cs w:val="0"/>
      <w:em w:val="none"/>
      <w:lang w:eastAsia="ru-RU" w:val="ru-RU"/>
    </w:rPr>
  </w:style>
  <w:style w:type="paragraph" w:styleId="Нижнийколонтитул">
    <w:name w:val="Нижний колонтитул"/>
    <w:basedOn w:val="Обычный"/>
    <w:next w:val="Нижнийколонтитул"/>
    <w:autoRedefine w:val="0"/>
    <w:hidden w:val="0"/>
    <w:qFormat w:val="0"/>
    <w:pPr>
      <w:suppressAutoHyphens w:val="0"/>
      <w:spacing w:after="160" w:line="259" w:lineRule="auto"/>
      <w:ind w:left="-1" w:right="0" w:leftChars="-1" w:rightChars="0" w:hanging="1" w:firstLineChars="-1"/>
      <w:textDirection w:val="lrTb"/>
      <w:textAlignment w:val="top"/>
      <w:outlineLvl w:val="0"/>
    </w:pPr>
    <w:rPr>
      <w:w w:val="100"/>
      <w:position w:val="-1"/>
      <w:sz w:val="22"/>
      <w:szCs w:val="22"/>
      <w:effect w:val="none"/>
      <w:vertAlign w:val="baseline"/>
      <w:cs w:val="0"/>
      <w:em w:val="none"/>
      <w:lang w:bidi="ar-SA" w:eastAsia="ru-RU" w:val="ru-RU"/>
    </w:rPr>
  </w:style>
  <w:style w:type="character" w:styleId="НижнийколонтитулЗнак">
    <w:name w:val="Нижний колонтитул Знак"/>
    <w:next w:val="НижнийколонтитулЗнак"/>
    <w:autoRedefine w:val="0"/>
    <w:hidden w:val="0"/>
    <w:qFormat w:val="0"/>
    <w:rPr>
      <w:w w:val="100"/>
      <w:position w:val="-1"/>
      <w:sz w:val="22"/>
      <w:szCs w:val="22"/>
      <w:effect w:val="none"/>
      <w:vertAlign w:val="baseline"/>
      <w:cs w:val="0"/>
      <w:em w:val="none"/>
      <w:lang w:eastAsia="ru-RU" w:val="ru-RU"/>
    </w:rPr>
  </w:style>
  <w:style w:type="character" w:styleId="Просмотреннаягиперссылка">
    <w:name w:val="Просмотренная гиперссылка"/>
    <w:next w:val="Просмотреннаягиперссылка"/>
    <w:autoRedefine w:val="0"/>
    <w:hidden w:val="0"/>
    <w:qFormat w:val="0"/>
    <w:rPr>
      <w:color w:val="800080"/>
      <w:w w:val="100"/>
      <w:position w:val="-1"/>
      <w:u w:val="single"/>
      <w:effect w:val="none"/>
      <w:vertAlign w:val="baseline"/>
      <w:cs w:val="0"/>
      <w:em w:val="none"/>
      <w:lang/>
    </w:rPr>
  </w:style>
  <w:style w:type="paragraph" w:styleId="Текствыноски">
    <w:name w:val="Текст выноски"/>
    <w:basedOn w:val="Обычный"/>
    <w:next w:val="Текствыноски"/>
    <w:autoRedefine w:val="0"/>
    <w:hidden w:val="0"/>
    <w:qFormat w:val="0"/>
    <w:pPr>
      <w:suppressAutoHyphens w:val="0"/>
      <w:spacing w:after="0" w:line="240" w:lineRule="auto"/>
      <w:ind w:left="-1" w:right="0" w:leftChars="-1" w:rightChars="0" w:hanging="1" w:firstLineChars="-1"/>
      <w:textDirection w:val="lrTb"/>
      <w:textAlignment w:val="top"/>
      <w:outlineLvl w:val="0"/>
    </w:pPr>
    <w:rPr>
      <w:rFonts w:ascii="Tahoma" w:cs="Tahoma" w:hAnsi="Tahoma"/>
      <w:w w:val="100"/>
      <w:position w:val="-1"/>
      <w:sz w:val="16"/>
      <w:szCs w:val="16"/>
      <w:effect w:val="none"/>
      <w:vertAlign w:val="baseline"/>
      <w:cs w:val="0"/>
      <w:em w:val="none"/>
      <w:lang w:bidi="ar-SA" w:eastAsia="ru-RU" w:val="ru-RU"/>
    </w:rPr>
  </w:style>
  <w:style w:type="character" w:styleId="ТекствыноскиЗнак">
    <w:name w:val="Текст выноски Знак"/>
    <w:next w:val="ТекствыноскиЗнак"/>
    <w:autoRedefine w:val="0"/>
    <w:hidden w:val="0"/>
    <w:qFormat w:val="0"/>
    <w:rPr>
      <w:rFonts w:ascii="Tahoma" w:cs="Tahoma" w:hAnsi="Tahoma"/>
      <w:w w:val="100"/>
      <w:position w:val="-1"/>
      <w:sz w:val="16"/>
      <w:szCs w:val="16"/>
      <w:effect w:val="none"/>
      <w:vertAlign w:val="baseline"/>
      <w:cs w:val="0"/>
      <w:em w:val="none"/>
      <w:lang/>
    </w:rPr>
  </w:style>
  <w:style w:type="character" w:styleId="Заголовок2Знак">
    <w:name w:val="Заголовок 2 Знак"/>
    <w:next w:val="Заголовок2Знак"/>
    <w:autoRedefine w:val="0"/>
    <w:hidden w:val="0"/>
    <w:qFormat w:val="0"/>
    <w:rPr>
      <w:rFonts w:ascii="Times New Roman" w:hAnsi="Times New Roman"/>
      <w:b w:val="1"/>
      <w:bCs w:val="1"/>
      <w:w w:val="100"/>
      <w:position w:val="-1"/>
      <w:sz w:val="36"/>
      <w:szCs w:val="36"/>
      <w:effect w:val="none"/>
      <w:vertAlign w:val="baseline"/>
      <w:cs w:val="0"/>
      <w:em w:val="none"/>
      <w:lang/>
    </w:rPr>
  </w:style>
  <w:style w:type="character" w:styleId="Нет">
    <w:name w:val="Нет"/>
    <w:next w:val="Нет"/>
    <w:autoRedefine w:val="0"/>
    <w:hidden w:val="0"/>
    <w:qFormat w:val="0"/>
    <w:rPr>
      <w:w w:val="100"/>
      <w:position w:val="-1"/>
      <w:effect w:val="none"/>
      <w:vertAlign w:val="baseline"/>
      <w:cs w:val="0"/>
      <w:em w:val="none"/>
      <w:lang/>
    </w:rPr>
  </w:style>
  <w:style w:type="character" w:styleId="Ссылка">
    <w:name w:val="Ссылка"/>
    <w:next w:val="Ссылка"/>
    <w:autoRedefine w:val="0"/>
    <w:hidden w:val="0"/>
    <w:qFormat w:val="0"/>
    <w:rPr>
      <w:w w:val="100"/>
      <w:position w:val="-1"/>
      <w:u w:val="single"/>
      <w:effect w:val="none"/>
      <w:vertAlign w:val="baseline"/>
      <w:cs w:val="0"/>
      <w:em w:val="none"/>
      <w:lang/>
    </w:rPr>
  </w:style>
  <w:style w:type="paragraph" w:styleId="Поумолчанию">
    <w:name w:val="По умолчанию"/>
    <w:next w:val="Поумолчанию"/>
    <w:autoRedefine w:val="0"/>
    <w:hidden w:val="0"/>
    <w:qFormat w:val="0"/>
    <w:pPr>
      <w:suppressAutoHyphens w:val="0"/>
      <w:spacing w:line="1" w:lineRule="atLeast"/>
      <w:ind w:left="-1" w:leftChars="-1" w:rightChars="0" w:hanging="1" w:firstLineChars="-1"/>
      <w:textDirection w:val="lrTb"/>
      <w:textAlignment w:val="top"/>
      <w:outlineLvl w:val="0"/>
    </w:pPr>
    <w:rPr>
      <w:rFonts w:ascii="Helvetica Neue" w:cs="Arial Unicode MS" w:eastAsia="Arial Unicode MS" w:hAnsi="Helvetica Neue"/>
      <w:color w:val="000000"/>
      <w:w w:val="100"/>
      <w:position w:val="-1"/>
      <w:sz w:val="22"/>
      <w:szCs w:val="22"/>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0"/>
      <w:spacing w:line="1" w:lineRule="atLeast"/>
      <w:ind w:left="-1" w:right="0" w:leftChars="-1" w:rightChars="0" w:hanging="1" w:firstLineChars="-1"/>
      <w:textDirection w:val="lrTb"/>
      <w:textAlignment w:val="top"/>
      <w:outlineLvl w:val="0"/>
    </w:pPr>
    <w:rPr>
      <w:w w:val="100"/>
      <w:position w:val="-1"/>
      <w:effect w:val="none"/>
      <w:vertAlign w:val="baseline"/>
      <w:cs w:val="0"/>
      <w:em w:val="none"/>
      <w:lang/>
    </w:rPr>
    <w:tblPr>
      <w:tblStyle w:val="Сетк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5">
    <w:name w:val="Hyperlink.5"/>
    <w:next w:val="Hyperlink.5"/>
    <w:autoRedefine w:val="0"/>
    <w:hidden w:val="0"/>
    <w:qFormat w:val="0"/>
    <w:rPr>
      <w:color w:val="0000ff"/>
      <w:w w:val="100"/>
      <w:position w:val="-1"/>
      <w:u w:color="0000ff" w:val="single"/>
      <w:effect w:val="none"/>
      <w:vertAlign w:val="baseline"/>
      <w:cs w:val="0"/>
      <w:em w:val="none"/>
      <w:lang w:val="ru-RU"/>
    </w:rPr>
  </w:style>
  <w:style w:type="paragraph" w:styleId="Основнойтекст">
    <w:name w:val="Основной текст"/>
    <w:basedOn w:val="Обычный"/>
    <w:next w:val="Основнойтекст"/>
    <w:autoRedefine w:val="0"/>
    <w:hidden w:val="0"/>
    <w:qFormat w:val="0"/>
    <w:pPr>
      <w:widowControl w:val="0"/>
      <w:suppressAutoHyphens w:val="0"/>
      <w:autoSpaceDE w:val="0"/>
      <w:autoSpaceDN w:val="0"/>
      <w:spacing w:after="0" w:line="240" w:lineRule="auto"/>
      <w:ind w:left="-1" w:right="0" w:leftChars="-1" w:rightChars="0" w:hanging="1" w:firstLineChars="-1"/>
      <w:textDirection w:val="lrTb"/>
      <w:textAlignment w:val="top"/>
      <w:outlineLvl w:val="0"/>
    </w:pPr>
    <w:rPr>
      <w:rFonts w:ascii="Trebuchet MS" w:cs="Trebuchet MS" w:eastAsia="Trebuchet MS" w:hAnsi="Trebuchet MS"/>
      <w:w w:val="100"/>
      <w:position w:val="-1"/>
      <w:sz w:val="12"/>
      <w:szCs w:val="12"/>
      <w:effect w:val="none"/>
      <w:vertAlign w:val="baseline"/>
      <w:cs w:val="0"/>
      <w:em w:val="none"/>
      <w:lang w:bidi="ar-SA" w:eastAsia="en-US" w:val="uk-UA"/>
    </w:rPr>
  </w:style>
  <w:style w:type="character" w:styleId="ОсновнойтекстЗнак">
    <w:name w:val="Основной текст Знак"/>
    <w:next w:val="ОсновнойтекстЗнак"/>
    <w:autoRedefine w:val="0"/>
    <w:hidden w:val="0"/>
    <w:qFormat w:val="0"/>
    <w:rPr>
      <w:rFonts w:ascii="Trebuchet MS" w:cs="Trebuchet MS" w:eastAsia="Trebuchet MS" w:hAnsi="Trebuchet MS"/>
      <w:w w:val="100"/>
      <w:position w:val="-1"/>
      <w:sz w:val="12"/>
      <w:szCs w:val="12"/>
      <w:effect w:val="none"/>
      <w:vertAlign w:val="baseline"/>
      <w:cs w:val="0"/>
      <w:em w:val="none"/>
      <w:lang w:eastAsia="en-US" w:val="uk-UA"/>
    </w:rPr>
  </w:style>
  <w:style w:type="paragraph" w:styleId="СтандартныйHTML">
    <w:name w:val="Стандартный HTML"/>
    <w:basedOn w:val="Обычный"/>
    <w:next w:val="СтандартныйHTML"/>
    <w:autoRedefine w:val="0"/>
    <w:hidden w:val="0"/>
    <w:qFormat w:val="0"/>
    <w:pPr>
      <w:suppressAutoHyphens w:val="0"/>
      <w:spacing w:after="0" w:line="240" w:lineRule="auto"/>
      <w:ind w:left="-1" w:right="0" w:leftChars="-1" w:rightChars="0" w:hanging="1" w:firstLineChars="-1"/>
      <w:textDirection w:val="lrTb"/>
      <w:textAlignment w:val="top"/>
      <w:outlineLvl w:val="0"/>
    </w:pPr>
    <w:rPr>
      <w:rFonts w:ascii="Courier New" w:cs="Courier New" w:hAnsi="Courier New"/>
      <w:w w:val="100"/>
      <w:position w:val="-1"/>
      <w:sz w:val="20"/>
      <w:szCs w:val="20"/>
      <w:effect w:val="none"/>
      <w:vertAlign w:val="baseline"/>
      <w:cs w:val="0"/>
      <w:em w:val="none"/>
      <w:lang w:bidi="ar-SA" w:eastAsia="uk-UA" w:val="ru-RU"/>
    </w:rPr>
  </w:style>
  <w:style w:type="character" w:styleId="СтандартныйHTMLЗнак">
    <w:name w:val="Стандартный HTML Знак"/>
    <w:next w:val="СтандартныйHTMLЗнак"/>
    <w:autoRedefine w:val="0"/>
    <w:hidden w:val="0"/>
    <w:qFormat w:val="0"/>
    <w:rPr>
      <w:rFonts w:ascii="Courier New" w:cs="Courier New" w:hAnsi="Courier New"/>
      <w:w w:val="100"/>
      <w:position w:val="-1"/>
      <w:effect w:val="none"/>
      <w:vertAlign w:val="baseline"/>
      <w:cs w:val="0"/>
      <w:em w:val="none"/>
      <w:lang w:eastAsia="uk-UA"/>
    </w:rPr>
  </w:style>
  <w:style w:type="character"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next w:val="1480;baiaagaaboqcaaadaqqaaaupbaaaaaaaaaaaaaaaaaaaaaaaaaaaaaaaaaaaaaaaaaaaaaaaaaaaaaaaaaaaaaaaaaaaaaaaaaaaaaaaaaaaaaaaaaaaaaaaaaaaaaaaaaaaaaaaaaaaaaaaaaaaaaaaaaaaaaaaaaaaaaaaaaaaaaaaaaaaaaaaaaaaaaaaaaaaaaaaaaaaaaaaaaaaaaaaaaaaaaaaaaaaaaaa"/>
    <w:autoRedefine w:val="0"/>
    <w:hidden w:val="0"/>
    <w:qFormat w:val="0"/>
    <w:rPr>
      <w:w w:val="100"/>
      <w:position w:val="-1"/>
      <w:effect w:val="none"/>
      <w:vertAlign w:val="baseline"/>
      <w:cs w:val="0"/>
      <w:em w:val="none"/>
      <w:lang/>
    </w:rPr>
  </w:style>
  <w:style w:type="paragraph" w:styleId="Абзацсписка">
    <w:name w:val="Абзац списка"/>
    <w:basedOn w:val="Обычный"/>
    <w:next w:val="Абзацсписка"/>
    <w:autoRedefine w:val="0"/>
    <w:hidden w:val="0"/>
    <w:qFormat w:val="0"/>
    <w:pPr>
      <w:suppressAutoHyphens w:val="0"/>
      <w:spacing w:after="160" w:line="259" w:lineRule="auto"/>
      <w:ind w:left="720" w:right="0" w:leftChars="-1" w:rightChars="0" w:hanging="1" w:firstLineChars="-1"/>
      <w:contextualSpacing w:val="1"/>
      <w:textDirection w:val="lrTb"/>
      <w:textAlignment w:val="top"/>
      <w:outlineLvl w:val="0"/>
    </w:pPr>
    <w:rPr>
      <w:rFonts w:ascii="Calibri" w:cs="Times New Roman" w:eastAsia="Calibri" w:hAnsi="Calibri"/>
      <w:w w:val="100"/>
      <w:position w:val="-1"/>
      <w:sz w:val="22"/>
      <w:szCs w:val="22"/>
      <w:effect w:val="none"/>
      <w:vertAlign w:val="baseline"/>
      <w:cs w:val="0"/>
      <w:em w:val="none"/>
      <w:lang w:bidi="ar-SA" w:eastAsia="en-US" w:val="ru-RU"/>
    </w:rPr>
  </w:style>
  <w:style w:type="character" w:styleId="Неразрешенноеупоминание">
    <w:name w:val="Неразрешенное упоминание"/>
    <w:next w:val="Неразрешенноеупоминание"/>
    <w:autoRedefine w:val="0"/>
    <w:hidden w:val="0"/>
    <w:qFormat w:val="0"/>
    <w:rPr>
      <w:color w:val="605e5c"/>
      <w:w w:val="100"/>
      <w:position w:val="-1"/>
      <w:effect w:val="none"/>
      <w:shd w:color="auto" w:fill="e1dfdd" w:val="clear"/>
      <w:vertAlign w:val="baseline"/>
      <w:cs w:val="0"/>
      <w:em w:val="none"/>
      <w:lang/>
    </w:rPr>
  </w:style>
  <w:style w:type="character" w:styleId="Заголовок1Знак">
    <w:name w:val="Заголовок 1 Знак"/>
    <w:next w:val="Заголовок1Знак"/>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eastAsia="ru-RU" w:val="ru-RU"/>
    </w:rPr>
  </w:style>
  <w:style w:type="paragraph" w:styleId="Подзаголовок">
    <w:name w:val="Подзаголовок"/>
    <w:basedOn w:val="normal"/>
    <w:next w:val="normal"/>
    <w:autoRedefine w:val="0"/>
    <w:hidden w:val="0"/>
    <w:qFormat w:val="0"/>
    <w:pPr>
      <w:keepNext w:val="1"/>
      <w:keepLines w:val="1"/>
      <w:pageBreakBefore w:val="0"/>
      <w:suppressAutoHyphens w:val="1"/>
      <w:spacing w:after="80" w:before="360" w:line="1" w:lineRule="atLeast"/>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ru-RU" w:val="uk-UA"/>
    </w:rPr>
  </w:style>
  <w:style w:type="table" w:styleId="2">
    <w:name w:val=""/>
    <w:basedOn w:val="TableNormal"/>
    <w:next w:val="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
      <w:tblStyleRowBandSize w:val="1"/>
      <w:tblStyleColBandSize w:val="1"/>
      <w:jc w:val="left"/>
      <w:tblCellMar>
        <w:top w:w="0.0" w:type="dxa"/>
        <w:left w:w="0.0" w:type="dxa"/>
        <w:bottom w:w="0.0" w:type="dxa"/>
        <w:right w:w="0.0" w:type="dxa"/>
      </w:tblCellMar>
    </w:tblPr>
  </w:style>
  <w:style w:type="table" w:styleId="3">
    <w:name w:val=""/>
    <w:basedOn w:val="TableNormal"/>
    <w:next w:val="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
      <w:tblStyleRowBandSize w:val="1"/>
      <w:tblStyleColBandSize w:val="1"/>
      <w:jc w:val="left"/>
      <w:tblCellMar>
        <w:top w:w="0.0" w:type="dxa"/>
        <w:left w:w="108.0" w:type="dxa"/>
        <w:bottom w:w="0.0" w:type="dxa"/>
        <w:right w:w="108.0" w:type="dxa"/>
      </w:tblCellMar>
    </w:tblPr>
  </w:style>
  <w:style w:type="table" w:styleId="4">
    <w:name w:val=""/>
    <w:basedOn w:val="TableNormal"/>
    <w:next w:val="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4"/>
      <w:tblStyleRowBandSize w:val="1"/>
      <w:tblStyleColBandSize w:val="1"/>
      <w:jc w:val="left"/>
      <w:tblCellMar>
        <w:top w:w="0.0" w:type="dxa"/>
        <w:left w:w="108.0" w:type="dxa"/>
        <w:bottom w:w="0.0" w:type="dxa"/>
        <w:right w:w="108.0" w:type="dxa"/>
      </w:tblCellMar>
    </w:tblPr>
  </w:style>
  <w:style w:type="table" w:styleId="5">
    <w:name w:val=""/>
    <w:basedOn w:val="TableNormal"/>
    <w:next w:val="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5"/>
      <w:tblStyleRowBandSize w:val="1"/>
      <w:tblStyleColBandSize w:val="1"/>
      <w:jc w:val="left"/>
      <w:tblCellMar>
        <w:top w:w="0.0" w:type="dxa"/>
        <w:left w:w="0.0" w:type="dxa"/>
        <w:bottom w:w="0.0" w:type="dxa"/>
        <w:right w:w="0.0" w:type="dxa"/>
      </w:tblCellMar>
    </w:tblPr>
  </w:style>
  <w:style w:type="table" w:styleId="6">
    <w:name w:val=""/>
    <w:basedOn w:val="TableNormal"/>
    <w:next w:val="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6"/>
      <w:tblStyleRowBandSize w:val="1"/>
      <w:tblStyleColBandSize w:val="1"/>
      <w:jc w:val="left"/>
      <w:tblCellMar>
        <w:top w:w="0.0" w:type="dxa"/>
        <w:left w:w="0.0" w:type="dxa"/>
        <w:bottom w:w="0.0" w:type="dxa"/>
        <w:right w:w="0.0" w:type="dxa"/>
      </w:tblCellMar>
    </w:tblPr>
  </w:style>
  <w:style w:type="table" w:styleId="7">
    <w:name w:val=""/>
    <w:basedOn w:val="TableNormal"/>
    <w:next w:val="7"/>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7"/>
      <w:tblStyleRowBandSize w:val="1"/>
      <w:tblStyleColBandSize w:val="1"/>
      <w:jc w:val="left"/>
      <w:tblCellMar>
        <w:top w:w="0.0" w:type="dxa"/>
        <w:left w:w="108.0" w:type="dxa"/>
        <w:bottom w:w="0.0" w:type="dxa"/>
        <w:right w:w="108.0" w:type="dxa"/>
      </w:tblCellMar>
    </w:tblPr>
  </w:style>
  <w:style w:type="table" w:styleId="8">
    <w:name w:val=""/>
    <w:basedOn w:val="TableNormal"/>
    <w:next w:val="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8"/>
      <w:tblStyleRowBandSize w:val="1"/>
      <w:tblStyleColBandSize w:val="1"/>
      <w:jc w:val="left"/>
      <w:tblCellMar>
        <w:top w:w="0.0" w:type="dxa"/>
        <w:left w:w="0.0" w:type="dxa"/>
        <w:bottom w:w="0.0" w:type="dxa"/>
        <w:right w:w="0.0" w:type="dxa"/>
      </w:tblCellMar>
    </w:tblPr>
  </w:style>
  <w:style w:type="table" w:styleId="9">
    <w:name w:val=""/>
    <w:basedOn w:val="TableNormal"/>
    <w:next w:val="9"/>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9"/>
      <w:tblStyleRowBandSize w:val="1"/>
      <w:tblStyleColBandSize w:val="1"/>
      <w:jc w:val="left"/>
      <w:tblCellMar>
        <w:top w:w="0.0" w:type="dxa"/>
        <w:left w:w="108.0" w:type="dxa"/>
        <w:bottom w:w="0.0" w:type="dxa"/>
        <w:right w:w="108.0" w:type="dxa"/>
      </w:tblCellMar>
    </w:tblPr>
  </w:style>
  <w:style w:type="table" w:styleId="10">
    <w:name w:val=""/>
    <w:basedOn w:val="TableNormal"/>
    <w:next w:val="1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0"/>
      <w:tblStyleRowBandSize w:val="1"/>
      <w:tblStyleColBandSize w:val="1"/>
      <w:jc w:val="left"/>
      <w:tblCellMar>
        <w:top w:w="0.0" w:type="dxa"/>
        <w:left w:w="108.0" w:type="dxa"/>
        <w:bottom w:w="0.0" w:type="dxa"/>
        <w:right w:w="108.0" w:type="dxa"/>
      </w:tblCellMar>
    </w:tblPr>
  </w:style>
  <w:style w:type="table" w:styleId="11">
    <w:name w:val=""/>
    <w:basedOn w:val="TableNormal"/>
    <w:next w:val="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1"/>
      <w:tblStyleRowBandSize w:val="1"/>
      <w:tblStyleColBandSize w:val="1"/>
      <w:jc w:val="left"/>
      <w:tblCellMar>
        <w:top w:w="0.0" w:type="dxa"/>
        <w:left w:w="108.0" w:type="dxa"/>
        <w:bottom w:w="0.0" w:type="dxa"/>
        <w:right w:w="108.0" w:type="dxa"/>
      </w:tblCellMar>
    </w:tblPr>
  </w:style>
  <w:style w:type="table" w:styleId="12">
    <w:name w:val=""/>
    <w:basedOn w:val="TableNormal"/>
    <w:next w:val="1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2"/>
      <w:tblStyleRowBandSize w:val="1"/>
      <w:tblStyleColBandSize w:val="1"/>
      <w:jc w:val="left"/>
      <w:tblCellMar>
        <w:top w:w="0.0" w:type="dxa"/>
        <w:left w:w="108.0" w:type="dxa"/>
        <w:bottom w:w="0.0" w:type="dxa"/>
        <w:right w:w="108.0" w:type="dxa"/>
      </w:tblCellMar>
    </w:tblPr>
  </w:style>
  <w:style w:type="table" w:styleId="13">
    <w:name w:val=""/>
    <w:basedOn w:val="TableNormal"/>
    <w:next w:val="1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3"/>
      <w:tblStyleRowBandSize w:val="1"/>
      <w:tblStyleColBandSize w:val="1"/>
      <w:jc w:val="left"/>
      <w:tblCellMar>
        <w:top w:w="0.0" w:type="dxa"/>
        <w:left w:w="108.0" w:type="dxa"/>
        <w:bottom w:w="0.0" w:type="dxa"/>
        <w:right w:w="108.0" w:type="dxa"/>
      </w:tblCellMar>
    </w:tblPr>
  </w:style>
  <w:style w:type="table" w:styleId="14">
    <w:name w:val=""/>
    <w:basedOn w:val="TableNormal"/>
    <w:next w:val="1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4"/>
      <w:tblStyleRowBandSize w:val="1"/>
      <w:tblStyleColBandSize w:val="1"/>
      <w:jc w:val="left"/>
      <w:tblCellMar>
        <w:top w:w="0.0" w:type="dxa"/>
        <w:left w:w="108.0" w:type="dxa"/>
        <w:bottom w:w="0.0" w:type="dxa"/>
        <w:right w:w="108.0" w:type="dxa"/>
      </w:tblCellMar>
    </w:tblPr>
  </w:style>
  <w:style w:type="table" w:styleId="15">
    <w:name w:val=""/>
    <w:basedOn w:val="TableNormal"/>
    <w:next w:val="1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5"/>
      <w:tblStyleRowBandSize w:val="1"/>
      <w:tblStyleColBandSize w:val="1"/>
      <w:jc w:val="left"/>
      <w:tblCellMar>
        <w:top w:w="0.0" w:type="dxa"/>
        <w:left w:w="108.0" w:type="dxa"/>
        <w:bottom w:w="0.0" w:type="dxa"/>
        <w:right w:w="108.0" w:type="dxa"/>
      </w:tblCellMar>
    </w:tblPr>
  </w:style>
  <w:style w:type="table" w:styleId="16">
    <w:name w:val=""/>
    <w:basedOn w:val="TableNormal"/>
    <w:next w:val="1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6"/>
      <w:tblStyleRowBandSize w:val="1"/>
      <w:tblStyleColBandSize w:val="1"/>
      <w:jc w:val="left"/>
      <w:tblCellMar>
        <w:top w:w="0.0" w:type="dxa"/>
        <w:left w:w="108.0" w:type="dxa"/>
        <w:bottom w:w="0.0" w:type="dxa"/>
        <w:right w:w="108.0" w:type="dxa"/>
      </w:tblCellMar>
    </w:tblPr>
  </w:style>
  <w:style w:type="table" w:styleId="17">
    <w:name w:val=""/>
    <w:basedOn w:val="TableNormal"/>
    <w:next w:val="17"/>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7"/>
      <w:tblStyleRowBandSize w:val="1"/>
      <w:tblStyleColBandSize w:val="1"/>
      <w:jc w:val="left"/>
      <w:tblCellMar>
        <w:top w:w="0.0" w:type="dxa"/>
        <w:left w:w="108.0" w:type="dxa"/>
        <w:bottom w:w="0.0" w:type="dxa"/>
        <w:right w:w="108.0" w:type="dxa"/>
      </w:tblCellMar>
    </w:tblPr>
  </w:style>
  <w:style w:type="table" w:styleId="18">
    <w:name w:val=""/>
    <w:basedOn w:val="TableNormal"/>
    <w:next w:val="1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8"/>
      <w:tblStyleRowBandSize w:val="1"/>
      <w:tblStyleColBandSize w:val="1"/>
      <w:jc w:val="left"/>
      <w:tblCellMar>
        <w:top w:w="0.0" w:type="dxa"/>
        <w:left w:w="108.0" w:type="dxa"/>
        <w:bottom w:w="0.0" w:type="dxa"/>
        <w:right w:w="108.0" w:type="dxa"/>
      </w:tblCellMar>
    </w:tblPr>
  </w:style>
  <w:style w:type="table" w:styleId="19">
    <w:name w:val=""/>
    <w:basedOn w:val="TableNormal"/>
    <w:next w:val="19"/>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9"/>
      <w:tblStyleRowBandSize w:val="1"/>
      <w:tblStyleColBandSize w:val="1"/>
      <w:jc w:val="left"/>
      <w:tblCellMar>
        <w:top w:w="0.0" w:type="dxa"/>
        <w:left w:w="108.0" w:type="dxa"/>
        <w:bottom w:w="0.0" w:type="dxa"/>
        <w:right w:w="108.0" w:type="dxa"/>
      </w:tblCellMar>
    </w:tblPr>
  </w:style>
  <w:style w:type="table" w:styleId="20">
    <w:name w:val=""/>
    <w:basedOn w:val="TableNormal"/>
    <w:next w:val="2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0"/>
      <w:tblStyleRowBandSize w:val="1"/>
      <w:tblStyleColBandSize w:val="1"/>
      <w:jc w:val="left"/>
      <w:tblCellMar>
        <w:top w:w="0.0" w:type="dxa"/>
        <w:left w:w="108.0" w:type="dxa"/>
        <w:bottom w:w="0.0" w:type="dxa"/>
        <w:right w:w="108.0" w:type="dxa"/>
      </w:tblCellMar>
    </w:tblPr>
  </w:style>
  <w:style w:type="table" w:styleId="21">
    <w:name w:val=""/>
    <w:basedOn w:val="TableNormal"/>
    <w:next w:val="2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1"/>
      <w:tblStyleRowBandSize w:val="1"/>
      <w:tblStyleColBandSize w:val="1"/>
      <w:jc w:val="left"/>
      <w:tblCellMar>
        <w:top w:w="0.0" w:type="dxa"/>
        <w:left w:w="0.0" w:type="dxa"/>
        <w:bottom w:w="0.0" w:type="dxa"/>
        <w:right w:w="0.0" w:type="dxa"/>
      </w:tblCellMar>
    </w:tblPr>
  </w:style>
  <w:style w:type="table" w:styleId="22">
    <w:name w:val=""/>
    <w:basedOn w:val="TableNormal"/>
    <w:next w:val="2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2"/>
      <w:tblStyleRowBandSize w:val="1"/>
      <w:tblStyleColBandSize w:val="1"/>
      <w:jc w:val="left"/>
      <w:tblCellMar>
        <w:top w:w="0.0" w:type="dxa"/>
        <w:left w:w="0.0" w:type="dxa"/>
        <w:bottom w:w="0.0" w:type="dxa"/>
        <w:right w:w="0.0" w:type="dxa"/>
      </w:tblCellMar>
    </w:tblPr>
  </w:style>
  <w:style w:type="table" w:styleId="23">
    <w:name w:val=""/>
    <w:basedOn w:val="TableNormal"/>
    <w:next w:val="2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3"/>
      <w:tblStyleRowBandSize w:val="1"/>
      <w:tblStyleColBandSize w:val="1"/>
      <w:jc w:val="left"/>
      <w:tblCellMar>
        <w:top w:w="0.0" w:type="dxa"/>
        <w:left w:w="0.0" w:type="dxa"/>
        <w:bottom w:w="0.0" w:type="dxa"/>
        <w:right w:w="0.0" w:type="dxa"/>
      </w:tblCellMar>
    </w:tblPr>
  </w:style>
  <w:style w:type="table" w:styleId="24">
    <w:name w:val=""/>
    <w:basedOn w:val="TableNormal"/>
    <w:next w:val="2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4"/>
      <w:tblStyleRowBandSize w:val="1"/>
      <w:tblStyleColBandSize w:val="1"/>
      <w:jc w:val="left"/>
      <w:tblCellMar>
        <w:top w:w="0.0" w:type="dxa"/>
        <w:left w:w="0.0" w:type="dxa"/>
        <w:bottom w:w="0.0" w:type="dxa"/>
        <w:right w:w="0.0" w:type="dxa"/>
      </w:tblCellMar>
    </w:tblPr>
  </w:style>
  <w:style w:type="table" w:styleId="25">
    <w:name w:val=""/>
    <w:basedOn w:val="TableNormal"/>
    <w:next w:val="2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5"/>
      <w:tblStyleRowBandSize w:val="1"/>
      <w:tblStyleColBandSize w:val="1"/>
      <w:jc w:val="left"/>
      <w:tblCellMar>
        <w:top w:w="0.0" w:type="dxa"/>
        <w:left w:w="0.0" w:type="dxa"/>
        <w:bottom w:w="0.0" w:type="dxa"/>
        <w:right w:w="0.0" w:type="dxa"/>
      </w:tblCellMar>
    </w:tblPr>
  </w:style>
  <w:style w:type="table" w:styleId="26">
    <w:name w:val=""/>
    <w:basedOn w:val="TableNormal"/>
    <w:next w:val="2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6"/>
      <w:tblStyleRowBandSize w:val="1"/>
      <w:tblStyleColBandSize w:val="1"/>
      <w:jc w:val="left"/>
      <w:tblCellMar>
        <w:top w:w="0.0" w:type="dxa"/>
        <w:left w:w="0.0" w:type="dxa"/>
        <w:bottom w:w="0.0" w:type="dxa"/>
        <w:right w:w="0.0" w:type="dxa"/>
      </w:tblCellMar>
    </w:tblPr>
  </w:style>
  <w:style w:type="table" w:styleId="27">
    <w:name w:val=""/>
    <w:basedOn w:val="TableNormal"/>
    <w:next w:val="27"/>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7"/>
      <w:tblStyleRowBandSize w:val="1"/>
      <w:tblStyleColBandSize w:val="1"/>
      <w:jc w:val="left"/>
      <w:tblCellMar>
        <w:top w:w="0.0" w:type="dxa"/>
        <w:left w:w="0.0" w:type="dxa"/>
        <w:bottom w:w="0.0" w:type="dxa"/>
        <w:right w:w="0.0" w:type="dxa"/>
      </w:tblCellMar>
    </w:tblPr>
  </w:style>
  <w:style w:type="table" w:styleId="28">
    <w:name w:val=""/>
    <w:basedOn w:val="TableNormal"/>
    <w:next w:val="2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8"/>
      <w:tblStyleRowBandSize w:val="1"/>
      <w:tblStyleColBandSize w:val="1"/>
      <w:jc w:val="left"/>
      <w:tblCellMar>
        <w:top w:w="0.0" w:type="dxa"/>
        <w:left w:w="0.0" w:type="dxa"/>
        <w:bottom w:w="0.0" w:type="dxa"/>
        <w:right w:w="0.0" w:type="dxa"/>
      </w:tblCellMar>
    </w:tblPr>
  </w:style>
  <w:style w:type="table" w:styleId="29">
    <w:name w:val=""/>
    <w:basedOn w:val="TableNormal"/>
    <w:next w:val="29"/>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9"/>
      <w:tblStyleRowBandSize w:val="1"/>
      <w:tblStyleColBandSize w:val="1"/>
      <w:jc w:val="left"/>
      <w:tblCellMar>
        <w:top w:w="0.0" w:type="dxa"/>
        <w:left w:w="0.0" w:type="dxa"/>
        <w:bottom w:w="0.0" w:type="dxa"/>
        <w:right w:w="0.0" w:type="dxa"/>
      </w:tblCellMar>
    </w:tblPr>
  </w:style>
  <w:style w:type="table" w:styleId="30">
    <w:name w:val=""/>
    <w:basedOn w:val="TableNormal"/>
    <w:next w:val="3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0"/>
      <w:tblStyleRowBandSize w:val="1"/>
      <w:tblStyleColBandSize w:val="1"/>
      <w:jc w:val="left"/>
      <w:tblCellMar>
        <w:top w:w="0.0" w:type="dxa"/>
        <w:left w:w="0.0" w:type="dxa"/>
        <w:bottom w:w="0.0" w:type="dxa"/>
        <w:right w:w="0.0" w:type="dxa"/>
      </w:tblCellMar>
    </w:tblPr>
  </w:style>
  <w:style w:type="table" w:styleId="31">
    <w:name w:val=""/>
    <w:basedOn w:val="TableNormal"/>
    <w:next w:val="3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1"/>
      <w:tblStyleRowBandSize w:val="1"/>
      <w:tblStyleColBandSize w:val="1"/>
      <w:jc w:val="left"/>
      <w:tblCellMar>
        <w:top w:w="0.0" w:type="dxa"/>
        <w:left w:w="0.0" w:type="dxa"/>
        <w:bottom w:w="0.0" w:type="dxa"/>
        <w:right w:w="0.0" w:type="dxa"/>
      </w:tblCellMar>
    </w:tblPr>
  </w:style>
  <w:style w:type="table" w:styleId="32">
    <w:name w:val=""/>
    <w:basedOn w:val="TableNormal"/>
    <w:next w:val="3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2"/>
      <w:tblStyleRowBandSize w:val="1"/>
      <w:tblStyleColBandSize w:val="1"/>
      <w:jc w:val="left"/>
      <w:tblCellMar>
        <w:top w:w="0.0" w:type="dxa"/>
        <w:left w:w="0.0" w:type="dxa"/>
        <w:bottom w:w="0.0" w:type="dxa"/>
        <w:right w:w="0.0" w:type="dxa"/>
      </w:tblCellMar>
    </w:tblPr>
  </w:style>
  <w:style w:type="table" w:styleId="33">
    <w:name w:val=""/>
    <w:basedOn w:val="TableNormal"/>
    <w:next w:val="3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3"/>
      <w:tblStyleRowBandSize w:val="1"/>
      <w:tblStyleColBandSize w:val="1"/>
      <w:jc w:val="left"/>
      <w:tblCellMar>
        <w:top w:w="0.0" w:type="dxa"/>
        <w:left w:w="0.0" w:type="dxa"/>
        <w:bottom w:w="0.0" w:type="dxa"/>
        <w:right w:w="0.0" w:type="dxa"/>
      </w:tblCellMar>
    </w:tblPr>
  </w:style>
  <w:style w:type="table" w:styleId="34">
    <w:name w:val=""/>
    <w:basedOn w:val="TableNormal"/>
    <w:next w:val="3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4"/>
      <w:tblStyleRowBandSize w:val="1"/>
      <w:tblStyleColBandSize w:val="1"/>
      <w:jc w:val="left"/>
      <w:tblCellMar>
        <w:top w:w="0.0" w:type="dxa"/>
        <w:left w:w="0.0" w:type="dxa"/>
        <w:bottom w:w="0.0" w:type="dxa"/>
        <w:right w:w="0.0" w:type="dxa"/>
      </w:tblCellMar>
    </w:tblPr>
  </w:style>
  <w:style w:type="table" w:styleId="35">
    <w:name w:val=""/>
    <w:basedOn w:val="TableNormal"/>
    <w:next w:val="3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5"/>
      <w:tblStyleRowBandSize w:val="1"/>
      <w:tblStyleColBandSize w:val="1"/>
      <w:jc w:val="left"/>
      <w:tblCellMar>
        <w:top w:w="0.0" w:type="dxa"/>
        <w:left w:w="0.0" w:type="dxa"/>
        <w:bottom w:w="0.0" w:type="dxa"/>
        <w:right w:w="0.0" w:type="dxa"/>
      </w:tblCellMar>
    </w:tblPr>
  </w:style>
  <w:style w:type="table" w:styleId="36">
    <w:name w:val=""/>
    <w:basedOn w:val="TableNormal"/>
    <w:next w:val="3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6"/>
      <w:tblStyleRowBandSize w:val="1"/>
      <w:tblStyleColBandSize w:val="1"/>
      <w:jc w:val="left"/>
      <w:tblCellMar>
        <w:top w:w="0.0" w:type="dxa"/>
        <w:left w:w="0.0" w:type="dxa"/>
        <w:bottom w:w="0.0" w:type="dxa"/>
        <w:right w:w="0.0" w:type="dxa"/>
      </w:tblCellMar>
    </w:tblPr>
  </w:style>
  <w:style w:type="table" w:styleId="37">
    <w:name w:val=""/>
    <w:basedOn w:val="TableNormal"/>
    <w:next w:val="37"/>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7"/>
      <w:tblStyleRowBandSize w:val="1"/>
      <w:tblStyleColBandSize w:val="1"/>
      <w:jc w:val="left"/>
      <w:tblCellMar>
        <w:top w:w="0.0" w:type="dxa"/>
        <w:left w:w="0.0" w:type="dxa"/>
        <w:bottom w:w="0.0" w:type="dxa"/>
        <w:right w:w="0.0" w:type="dxa"/>
      </w:tblCellMar>
    </w:tblPr>
  </w:style>
  <w:style w:type="table" w:styleId="38">
    <w:name w:val=""/>
    <w:basedOn w:val="TableNormal"/>
    <w:next w:val="3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8"/>
      <w:tblStyleRowBandSize w:val="1"/>
      <w:tblStyleColBandSize w:val="1"/>
      <w:jc w:val="left"/>
      <w:tblCellMar>
        <w:top w:w="0.0" w:type="dxa"/>
        <w:left w:w="0.0" w:type="dxa"/>
        <w:bottom w:w="0.0" w:type="dxa"/>
        <w:right w:w="0.0" w:type="dxa"/>
      </w:tblCellMar>
    </w:tblPr>
  </w:style>
  <w:style w:type="table" w:styleId="39">
    <w:name w:val=""/>
    <w:basedOn w:val="TableNormal"/>
    <w:next w:val="39"/>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9"/>
      <w:tblStyleRowBandSize w:val="1"/>
      <w:tblStyleColBandSize w:val="1"/>
      <w:jc w:val="left"/>
      <w:tblCellMar>
        <w:top w:w="0.0" w:type="dxa"/>
        <w:left w:w="0.0" w:type="dxa"/>
        <w:bottom w:w="0.0" w:type="dxa"/>
        <w:right w:w="0.0" w:type="dxa"/>
      </w:tblCellMar>
    </w:tblPr>
  </w:style>
  <w:style w:type="table" w:styleId="40">
    <w:name w:val=""/>
    <w:basedOn w:val="TableNormal"/>
    <w:next w:val="4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40"/>
      <w:tblStyleRowBandSize w:val="1"/>
      <w:tblStyleColBandSize w:val="1"/>
      <w:jc w:val="left"/>
      <w:tblCellMar>
        <w:top w:w="0.0" w:type="dxa"/>
        <w:left w:w="0.0" w:type="dxa"/>
        <w:bottom w:w="0.0" w:type="dxa"/>
        <w:right w:w="0.0" w:type="dxa"/>
      </w:tblCellMar>
    </w:tblPr>
  </w:style>
  <w:style w:type="table" w:styleId="41">
    <w:name w:val=""/>
    <w:basedOn w:val="TableNormal"/>
    <w:next w:val="4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41"/>
      <w:tblStyleRowBandSize w:val="1"/>
      <w:tblStyleColBandSize w:val="1"/>
      <w:jc w:val="left"/>
      <w:tblCellMar>
        <w:top w:w="0.0" w:type="dxa"/>
        <w:left w:w="0.0" w:type="dxa"/>
        <w:bottom w:w="0.0" w:type="dxa"/>
        <w:right w:w="0.0" w:type="dxa"/>
      </w:tblCellMar>
    </w:tblPr>
  </w:style>
  <w:style w:type="table" w:styleId="42">
    <w:name w:val=""/>
    <w:basedOn w:val="TableNormal"/>
    <w:next w:val="4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42"/>
      <w:tblStyleRowBandSize w:val="1"/>
      <w:tblStyleColBandSize w:val="1"/>
      <w:jc w:val="left"/>
      <w:tblCellMar>
        <w:top w:w="0.0" w:type="dxa"/>
        <w:left w:w="0.0" w:type="dxa"/>
        <w:bottom w:w="0.0" w:type="dxa"/>
        <w:right w:w="0.0" w:type="dxa"/>
      </w:tblCellMar>
    </w:tblPr>
  </w:style>
  <w:style w:type="table" w:styleId="43">
    <w:name w:val=""/>
    <w:basedOn w:val="TableNormal"/>
    <w:next w:val="4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43"/>
      <w:tblStyleRowBandSize w:val="1"/>
      <w:tblStyleColBandSize w:val="1"/>
      <w:jc w:val="left"/>
      <w:tblCellMar>
        <w:top w:w="0.0" w:type="dxa"/>
        <w:left w:w="0.0" w:type="dxa"/>
        <w:bottom w:w="0.0" w:type="dxa"/>
        <w:right w:w="0.0" w:type="dxa"/>
      </w:tblCellMar>
    </w:tblPr>
  </w:style>
  <w:style w:type="table" w:styleId="44">
    <w:name w:val=""/>
    <w:basedOn w:val="TableNormal"/>
    <w:next w:val="4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44"/>
      <w:tblStyleRowBandSize w:val="1"/>
      <w:tblStyleColBandSize w:val="1"/>
      <w:jc w:val="left"/>
      <w:tblCellMar>
        <w:top w:w="0.0" w:type="dxa"/>
        <w:left w:w="0.0" w:type="dxa"/>
        <w:bottom w:w="0.0" w:type="dxa"/>
        <w:right w:w="0.0" w:type="dxa"/>
      </w:tblCellMar>
    </w:tblPr>
  </w:style>
  <w:style w:type="table" w:styleId="">
    <w:name w:val=""/>
    <w:basedOn w:val="TableNormal"/>
    <w:next w:v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
      <w:tblStyleRowBandSize w:val="1"/>
      <w:tblStyleColBandSize w:val="1"/>
      <w:jc w:val="left"/>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ate.univ.kiev.ua/?p=1352" TargetMode="External"/><Relationship Id="rId42" Type="http://schemas.openxmlformats.org/officeDocument/2006/relationships/hyperlink" Target="http://senate.univ.kiev.ua/?p=1733" TargetMode="External"/><Relationship Id="rId41" Type="http://schemas.openxmlformats.org/officeDocument/2006/relationships/hyperlink" Target="http://senate.univ.kiev.ua/?p=937" TargetMode="External"/><Relationship Id="rId44" Type="http://schemas.openxmlformats.org/officeDocument/2006/relationships/hyperlink" Target="http://senate.univ.kiev.ua/?p=1352" TargetMode="External"/><Relationship Id="rId43" Type="http://schemas.openxmlformats.org/officeDocument/2006/relationships/hyperlink" Target="http://senate.univ.kiev.ua/?p=2104" TargetMode="External"/><Relationship Id="rId46" Type="http://schemas.openxmlformats.org/officeDocument/2006/relationships/hyperlink" Target="https://knu.ua/pdfs/official/Polozhennia-pro-organizatsiyu-osvitniogo-procesu-11_04_2022.pdf" TargetMode="External"/><Relationship Id="rId45" Type="http://schemas.openxmlformats.org/officeDocument/2006/relationships/hyperlink" Target="https://knu.ua/pdfs/official/Detection-and-prevention-of-academic-plagiarism-in-University.pdf" TargetMode="External"/><Relationship Id="rId107" Type="http://schemas.openxmlformats.org/officeDocument/2006/relationships/hyperlink" Target="https://www.knu.ua/pdfs/official/ethical-code/Ethical-code-of-the-university-community.pdf" TargetMode="External"/><Relationship Id="rId106" Type="http://schemas.openxmlformats.org/officeDocument/2006/relationships/hyperlink" Target="https://knu.ua/pdfs/official/Quality-assurance-system-of-education-and-educational-process.pdf" TargetMode="External"/><Relationship Id="rId105" Type="http://schemas.openxmlformats.org/officeDocument/2006/relationships/hyperlink" Target="http://nmc.univ.kiev.ua/docs/Polojennya%20QAS%202019.pdf" TargetMode="External"/><Relationship Id="rId104" Type="http://schemas.openxmlformats.org/officeDocument/2006/relationships/hyperlink" Target="https://knu.ua/pdfs/official/Polozhennia-pro-organizatsiyu-osvitniogo-procesu-11_04_2022.pdf" TargetMode="External"/><Relationship Id="rId109" Type="http://schemas.openxmlformats.org/officeDocument/2006/relationships/hyperlink" Target="https://www.knu.ua/pdfs/official/Procedure-for-resolving-conflict-situations-in-University.pdf" TargetMode="External"/><Relationship Id="rId108" Type="http://schemas.openxmlformats.org/officeDocument/2006/relationships/hyperlink" Target="http://nmc.univ.kiev.ua/docs/Poloz_org_osv_proc-2018.pdf" TargetMode="External"/><Relationship Id="rId48" Type="http://schemas.openxmlformats.org/officeDocument/2006/relationships/hyperlink" Target="http://sp.knu.ua" TargetMode="External"/><Relationship Id="rId47" Type="http://schemas.openxmlformats.org/officeDocument/2006/relationships/hyperlink" Target="http://senate.univ.kiev.ua/?p=2104" TargetMode="External"/><Relationship Id="rId49" Type="http://schemas.openxmlformats.org/officeDocument/2006/relationships/hyperlink" Target="https://academiq.org.ua/pro-proekt/" TargetMode="External"/><Relationship Id="rId103" Type="http://schemas.openxmlformats.org/officeDocument/2006/relationships/hyperlink" Target="http://nmc.univ.kiev.ua/docs/Poloz_org_osv_proc-2018.pdf" TargetMode="External"/><Relationship Id="rId102" Type="http://schemas.openxmlformats.org/officeDocument/2006/relationships/hyperlink" Target="https://knu.ua/pdfs/official/must-published/statut-22-02-17.pdf" TargetMode="External"/><Relationship Id="rId101" Type="http://schemas.openxmlformats.org/officeDocument/2006/relationships/hyperlink" Target="http://univ.kiev.ua/pdfs/statut/statut-22-02-17.pdf" TargetMode="External"/><Relationship Id="rId100" Type="http://schemas.openxmlformats.org/officeDocument/2006/relationships/hyperlink" Target="https://www.facebook.com/department.quality" TargetMode="External"/><Relationship Id="rId31" Type="http://schemas.openxmlformats.org/officeDocument/2006/relationships/hyperlink" Target="http://nmc.univ.kiev.ua/docs/Poryadok%20zal_ekz%20sesii%20dyst_techn.pdf" TargetMode="External"/><Relationship Id="rId30" Type="http://schemas.openxmlformats.org/officeDocument/2006/relationships/hyperlink" Target="http://nmc.univ.kiev.ua/docs/Polojennya%20pro%20DEK.doc" TargetMode="External"/><Relationship Id="rId33" Type="http://schemas.openxmlformats.org/officeDocument/2006/relationships/hyperlink" Target="http://www.univ.kiev.ua/pdfs/official/Procedure-for-resolving-conflict-situations-in-University.pdf" TargetMode="External"/><Relationship Id="rId32" Type="http://schemas.openxmlformats.org/officeDocument/2006/relationships/hyperlink" Target="http://nmc.univ.kiev.ua/docs/Poloz_org_osv_proc-2018.pdf" TargetMode="External"/><Relationship Id="rId35" Type="http://schemas.openxmlformats.org/officeDocument/2006/relationships/hyperlink" Target="https://www.knu.ua/pdfs/official/Polozhennia-pro-organizatsiyu-osvitniogo-procesu-11_04_2022.pdf" TargetMode="External"/><Relationship Id="rId34" Type="http://schemas.openxmlformats.org/officeDocument/2006/relationships/hyperlink" Target="https://www.knu.ua/pdfs/official/Procedure-for-resolving-conflict-situations-in-University.pdf" TargetMode="External"/><Relationship Id="rId37" Type="http://schemas.openxmlformats.org/officeDocument/2006/relationships/hyperlink" Target="https://knu.ua/pdfs/official/Polozhennia-pro-organizatsiyu-osvitniogo-procesu-11_04_2022.pdf" TargetMode="External"/><Relationship Id="rId36" Type="http://schemas.openxmlformats.org/officeDocument/2006/relationships/hyperlink" Target="http://nmc.univ.kiev.ua/docs/Poloz_org_osv_proc-2018.pdf" TargetMode="External"/><Relationship Id="rId39" Type="http://schemas.openxmlformats.org/officeDocument/2006/relationships/hyperlink" Target="https://www.knu.ua/pdfs/official/ethical-code/Ethical-code-of-the-university-community.pdf" TargetMode="External"/><Relationship Id="rId38" Type="http://schemas.openxmlformats.org/officeDocument/2006/relationships/hyperlink" Target="http://nmc.univ.kiev.ua/docs/Poloz_org_osv_proc-2018.pdf" TargetMode="External"/><Relationship Id="rId20" Type="http://schemas.openxmlformats.org/officeDocument/2006/relationships/hyperlink" Target="https://mobility.knu.ua/?page_id=804&amp;lang=uk" TargetMode="External"/><Relationship Id="rId22" Type="http://schemas.openxmlformats.org/officeDocument/2006/relationships/hyperlink" Target="http://mobility.univ.kiev.ua/?page_id=798&amp;lang=uk" TargetMode="External"/><Relationship Id="rId21" Type="http://schemas.openxmlformats.org/officeDocument/2006/relationships/hyperlink" Target="http://vstup.univ.kiev.ua/userfiles/files/instruction.pdf" TargetMode="External"/><Relationship Id="rId24" Type="http://schemas.openxmlformats.org/officeDocument/2006/relationships/hyperlink" Target="http://surl.li/ixnq" TargetMode="External"/><Relationship Id="rId23" Type="http://schemas.openxmlformats.org/officeDocument/2006/relationships/hyperlink" Target="http://nmc.univ.kiev.ua/docs/Nakaz_atestaciya_PK_2016.jpg" TargetMode="External"/><Relationship Id="rId26" Type="http://schemas.openxmlformats.org/officeDocument/2006/relationships/hyperlink" Target="http://nmc.univ.kiev.ua/docs/Poloz_org_osv_proc-2018.pdf" TargetMode="External"/><Relationship Id="rId25" Type="http://schemas.openxmlformats.org/officeDocument/2006/relationships/hyperlink" Target="http://surl.li/bpllg" TargetMode="External"/><Relationship Id="rId28" Type="http://schemas.openxmlformats.org/officeDocument/2006/relationships/hyperlink" Target="https://science.knu.ua/upload/iblock/ac8/ac863585f8fed22f8f19d1b5fab6537e.doc" TargetMode="External"/><Relationship Id="rId27" Type="http://schemas.openxmlformats.org/officeDocument/2006/relationships/hyperlink" Target="https://www.knu.ua/pdfs/official/Polozhennia-pro-organizatsiyu-osvitniogo-procesu-11_04_2022.pdf" TargetMode="External"/><Relationship Id="rId29" Type="http://schemas.openxmlformats.org/officeDocument/2006/relationships/hyperlink" Target="https://www.knu.ua/pdfs/official/Polozhennia-pro-organizatsiyu-osvitniogo-procesu-11_04_2022.pdf" TargetMode="External"/><Relationship Id="rId95" Type="http://schemas.openxmlformats.org/officeDocument/2006/relationships/hyperlink" Target="http://senate.univ.kiev.ua/?p=1466" TargetMode="External"/><Relationship Id="rId94" Type="http://schemas.openxmlformats.org/officeDocument/2006/relationships/hyperlink" Target="http://sp.knu.ua/wp-content/uploads/2021/06/%D1%80%D0%BE%D0%B7%D0%BF%D0%BE%D1%80%D1%8F%D0%B4%D0%B6%D0%B5%D0%BD%D0%BD%D1%8F-114.pdf" TargetMode="External"/><Relationship Id="rId97" Type="http://schemas.openxmlformats.org/officeDocument/2006/relationships/hyperlink" Target="http://senate.univ.kiev.ua/?p=1894" TargetMode="External"/><Relationship Id="rId96" Type="http://schemas.openxmlformats.org/officeDocument/2006/relationships/hyperlink" Target="http://senate.univ.kiev.ua/?p=1650" TargetMode="External"/><Relationship Id="rId11" Type="http://schemas.openxmlformats.org/officeDocument/2006/relationships/hyperlink" Target="https://mon.gov.ua/ua/npa/pro-unesennya-zmin-do-metodichnih-rekomendacij-shodo-rozroblennya-standartiv-vishoyi-osviti-1" TargetMode="External"/><Relationship Id="rId99" Type="http://schemas.openxmlformats.org/officeDocument/2006/relationships/hyperlink" Target="https://knu.ua/pdfs/official/Quality-assurance-system-of-education-and-educational-process.pdf" TargetMode="External"/><Relationship Id="rId10" Type="http://schemas.openxmlformats.org/officeDocument/2006/relationships/hyperlink" Target="https://knu.ua/pdfs/official/Development-strategic-plan.pdf" TargetMode="External"/><Relationship Id="rId98" Type="http://schemas.openxmlformats.org/officeDocument/2006/relationships/hyperlink" Target="http://senate.univ.kiev.ua/?p=2123" TargetMode="External"/><Relationship Id="rId13" Type="http://schemas.openxmlformats.org/officeDocument/2006/relationships/hyperlink" Target="http://nmc.univ.kiev.ua/docs/Poriadok%20vyboru%20dyscyplin%20(03_12_2018).PDF" TargetMode="External"/><Relationship Id="rId12" Type="http://schemas.openxmlformats.org/officeDocument/2006/relationships/hyperlink" Target="https://knu.ua/pdfs/official/Quality-assurance-system-of-education-and-educational-process.pdf" TargetMode="External"/><Relationship Id="rId91" Type="http://schemas.openxmlformats.org/officeDocument/2006/relationships/hyperlink" Target="http://nmc.univ.kiev.ua/docs/Nakaz_Form_Doc-729-32_11-08-2017.pdf" TargetMode="External"/><Relationship Id="rId90" Type="http://schemas.openxmlformats.org/officeDocument/2006/relationships/hyperlink" Target="https://www.knu.ua/pdfs/official/Polozhennia-pro-organizatsiyu-osvitniogo-procesu-11_04_2022.pdf" TargetMode="External"/><Relationship Id="rId93" Type="http://schemas.openxmlformats.org/officeDocument/2006/relationships/hyperlink" Target="https://cutt.ly/jYVxgFT" TargetMode="External"/><Relationship Id="rId92" Type="http://schemas.openxmlformats.org/officeDocument/2006/relationships/hyperlink" Target="http://nmc.univ.kiev.ua/docs/Nakaz_Form_Doc-729-32_11-08-2017.pdf" TargetMode="External"/><Relationship Id="rId15" Type="http://schemas.openxmlformats.org/officeDocument/2006/relationships/hyperlink" Target="https://www.knu.ua/pdfs/official/Polozhennia-pro-organizatsiyu-osvitniogo-procesu-11_04_2022.pdf" TargetMode="External"/><Relationship Id="rId110" Type="http://schemas.openxmlformats.org/officeDocument/2006/relationships/hyperlink" Target="http://nmc.univ.kiev.ua/docs/Poloz_org_osv_proc-2018.pdf" TargetMode="External"/><Relationship Id="rId14" Type="http://schemas.openxmlformats.org/officeDocument/2006/relationships/hyperlink" Target="http://nmc.univ.kiev.ua/docs/Poloz_org_osv_proc-2018.pdf" TargetMode="External"/><Relationship Id="rId17" Type="http://schemas.openxmlformats.org/officeDocument/2006/relationships/hyperlink" Target="https://www.knu.ua/pdfs/official/Polozhennia-pro-organizatsiyu-osvitniogo-procesu-11_04_2022.pdf" TargetMode="External"/><Relationship Id="rId16" Type="http://schemas.openxmlformats.org/officeDocument/2006/relationships/hyperlink" Target="https://www.me.gov.ua/Documents/Detail?lang=uk-UA&amp;id=22469103-4e36-4d41-b1bf-288338b3c7fa&amp;title=RestrProfesiinikhStandartiv" TargetMode="External"/><Relationship Id="rId19" Type="http://schemas.openxmlformats.org/officeDocument/2006/relationships/hyperlink" Target="https://www.knu.ua/pdfs/official/Polozhennia-pro-organizatsiyu-osvitniogo-procesu-11_04_2022.pdf" TargetMode="External"/><Relationship Id="rId18" Type="http://schemas.openxmlformats.org/officeDocument/2006/relationships/hyperlink" Target="https://vstup.knu.ua/" TargetMode="External"/><Relationship Id="rId113" Type="http://schemas.openxmlformats.org/officeDocument/2006/relationships/footer" Target="footer1.xml"/><Relationship Id="rId112" Type="http://schemas.openxmlformats.org/officeDocument/2006/relationships/hyperlink" Target="https://studmisto.knu.ua/management/documents/regulation-documents/257-pravyla-vnutrishnoho-rozporiadku" TargetMode="External"/><Relationship Id="rId111" Type="http://schemas.openxmlformats.org/officeDocument/2006/relationships/hyperlink" Target="http://senate.univ.kiev.ua/?p=1678" TargetMode="External"/><Relationship Id="rId84" Type="http://schemas.openxmlformats.org/officeDocument/2006/relationships/hyperlink" Target="https://www.knu.ua/pdfs/equal-opportunities/Pamyatka-pro-pravyla-komunikaciyi-iz-lyudmy-z-invalidnistyu.pdf" TargetMode="External"/><Relationship Id="rId83" Type="http://schemas.openxmlformats.org/officeDocument/2006/relationships/hyperlink" Target="http://www.univ.kiev.ua/pdfs/equal-opportunities/Pamyatka-pro-pravyla-komunikaciyi-iz-lyudmy-z-invalidnistyu.pdf" TargetMode="External"/><Relationship Id="rId86" Type="http://schemas.openxmlformats.org/officeDocument/2006/relationships/hyperlink" Target="https://www.knu.ua/pdfs/equal-opportunities/Poryadok-suprovodu-osib-z-invalidnistyu.pdf" TargetMode="External"/><Relationship Id="rId85" Type="http://schemas.openxmlformats.org/officeDocument/2006/relationships/hyperlink" Target="http://www.univ.kiev.ua/pdfs/equal-opportunities/Poryadok-suprovodu-osib-z-invalidnistyu.pdf" TargetMode="External"/><Relationship Id="rId88" Type="http://schemas.openxmlformats.org/officeDocument/2006/relationships/hyperlink" Target="https://www.knu.ua/pdfs/official/Procedure-for-resolving-conflict-situations-in-University.pdf" TargetMode="External"/><Relationship Id="rId87" Type="http://schemas.openxmlformats.org/officeDocument/2006/relationships/hyperlink" Target="https://www.knu.ua/pdfs/official/Polozhennia-pro-organizatsiyu-osvitniogo-procesu-11_04_2022.pdf" TargetMode="External"/><Relationship Id="rId89" Type="http://schemas.openxmlformats.org/officeDocument/2006/relationships/hyperlink" Target="https://www.knu.ua/pdfs/official/preventing-corruption/antykoruptsiyna_prohrama.pdf" TargetMode="External"/><Relationship Id="rId80" Type="http://schemas.openxmlformats.org/officeDocument/2006/relationships/hyperlink" Target="http://nmc.univ.kiev.ua/docs/Poloz_org_osv_proc-2018.pdf" TargetMode="External"/><Relationship Id="rId82" Type="http://schemas.openxmlformats.org/officeDocument/2006/relationships/hyperlink" Target="https://www.knu.ua/pdfs/equal-opportunities/Concept-of-inclusive-education-development.pdf" TargetMode="External"/><Relationship Id="rId81" Type="http://schemas.openxmlformats.org/officeDocument/2006/relationships/hyperlink" Target="http://www.univ.kiev.ua/pdfs/equal-opportunities/Concept-of-inclusive-education-developmen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qa.gov.ua/wp-content/uploads/2020/02/%D0%A0%D0%B5%D0%BA%D0%BE%D0%BC%D0%B5%D0%BD%D0%B4%D0%B0%D1%86%D1%96%D1%96%CC%88-%D1%81%D1%82%D0%BE%D1%81%D0%BE%D0%B2%D0%BD%D0%BE-%D0%B0%D0%BA%D1%80%D0%B5%D0%B4%D0%B8%D1%82%D0%B0%D1%86%D1%96%D1%96%CC%88-PhD-%D0%BF%D1%80%D0%BE%D0%B3%D1%80%D0%B0%D0%BC.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aqa.gov.ua/wp-content/uploads/2019/11/%D0%BF%D0%BE%D1%80%D0%B0%D0%B4%D0%BD%D0%B8%D0%BA_121119.pdf" TargetMode="External"/><Relationship Id="rId8" Type="http://schemas.openxmlformats.org/officeDocument/2006/relationships/hyperlink" Target="https://naqa.gov.ua/wp-content/uploads/2020/12/%D0%A0%D0%B5%D0%BA%D0%BE%D0%BC%D0%B5%D0%BD%D0%B4%D0%B0%D1%86%D1%96%D1%97-%D1%89%D0%BE%D0%B4%D0%BE-%D0%B7%D0%B0%D1%81%D1%82%D0%BE%D1%81%D1%83%D0%B2%D0%B0%D0%BD%D0%BD%D1%8F-%D0%BA%D1%80%D0%B8%D1%82%D0%B5%D1%80%D1%96%D1%97%D0%B2-%D0%BE%D1%86%D1%96%D0%BD%D1%8E%D0%B2%D0%B0%D0%BD%D0%BD%D1%8F-%D1%8F%D0%BA%D0%BE%D1%81%D1%82%D1%96-%D0%9E%D0%9F.pdf" TargetMode="External"/><Relationship Id="rId73" Type="http://schemas.openxmlformats.org/officeDocument/2006/relationships/hyperlink" Target="https://knu.ua/ua/dep/academic-mobile" TargetMode="External"/><Relationship Id="rId72" Type="http://schemas.openxmlformats.org/officeDocument/2006/relationships/hyperlink" Target="http://univ.kiev.ua/ua/departments/psychiatry" TargetMode="External"/><Relationship Id="rId75" Type="http://schemas.openxmlformats.org/officeDocument/2006/relationships/hyperlink" Target="http://sport.univ.kiev.ua/" TargetMode="External"/><Relationship Id="rId74" Type="http://schemas.openxmlformats.org/officeDocument/2006/relationships/hyperlink" Target="http://jobs.knu.ua" TargetMode="External"/><Relationship Id="rId77" Type="http://schemas.openxmlformats.org/officeDocument/2006/relationships/hyperlink" Target="https://knu.ua/ua/departments/dc/" TargetMode="External"/><Relationship Id="rId76" Type="http://schemas.openxmlformats.org/officeDocument/2006/relationships/hyperlink" Target="https://www.knu.ua/ua/dep/molod-center" TargetMode="External"/><Relationship Id="rId79" Type="http://schemas.openxmlformats.org/officeDocument/2006/relationships/hyperlink" Target="https://sociology.knu.ua/uk/department/navchalna-laboratoriya-sociologichnyh-ta-osvitnih-doslidzhen" TargetMode="External"/><Relationship Id="rId78" Type="http://schemas.openxmlformats.org/officeDocument/2006/relationships/hyperlink" Target="http://ntsa.univ.kiev.ua/" TargetMode="External"/><Relationship Id="rId71" Type="http://schemas.openxmlformats.org/officeDocument/2006/relationships/hyperlink" Target="https://clinic.knu.ua/" TargetMode="External"/><Relationship Id="rId70" Type="http://schemas.openxmlformats.org/officeDocument/2006/relationships/hyperlink" Target="https://psyservice.knu.ua/" TargetMode="External"/><Relationship Id="rId62" Type="http://schemas.openxmlformats.org/officeDocument/2006/relationships/hyperlink" Target="http://www.ipe.knu.ua/#details-0-1" TargetMode="External"/><Relationship Id="rId61" Type="http://schemas.openxmlformats.org/officeDocument/2006/relationships/hyperlink" Target="http://www.ipe.knu.ua/#details-0-2" TargetMode="External"/><Relationship Id="rId64" Type="http://schemas.openxmlformats.org/officeDocument/2006/relationships/hyperlink" Target="https://www.facebook.com/KNUprofessionals/about" TargetMode="External"/><Relationship Id="rId63" Type="http://schemas.openxmlformats.org/officeDocument/2006/relationships/hyperlink" Target="http://science.univ.kiev.ua/news/official/3247/" TargetMode="External"/><Relationship Id="rId66" Type="http://schemas.openxmlformats.org/officeDocument/2006/relationships/hyperlink" Target="http://unidos.univ.kiev.ua/" TargetMode="External"/><Relationship Id="rId65" Type="http://schemas.openxmlformats.org/officeDocument/2006/relationships/hyperlink" Target="http://langcenter.knu.ua" TargetMode="External"/><Relationship Id="rId68" Type="http://schemas.openxmlformats.org/officeDocument/2006/relationships/hyperlink" Target="http://surl.li/apuyx" TargetMode="External"/><Relationship Id="rId67" Type="http://schemas.openxmlformats.org/officeDocument/2006/relationships/hyperlink" Target="https://knu.ua/pdfs/official/Development-strategic-plan.pdf" TargetMode="External"/><Relationship Id="rId60" Type="http://schemas.openxmlformats.org/officeDocument/2006/relationships/hyperlink" Target="http://www.univ.kiev.ua/news/11415" TargetMode="External"/><Relationship Id="rId69" Type="http://schemas.openxmlformats.org/officeDocument/2006/relationships/hyperlink" Target="https://studmisto.knu.ua/documents/regulation-documents/257-pravyla-vnutrishnoho-rozporiadku" TargetMode="External"/><Relationship Id="rId51" Type="http://schemas.openxmlformats.org/officeDocument/2006/relationships/hyperlink" Target="http://senate.univ.kiev.ua/?p=1863" TargetMode="External"/><Relationship Id="rId50" Type="http://schemas.openxmlformats.org/officeDocument/2006/relationships/hyperlink" Target="http://nmc.univ.kiev.ua/docs/Poloz_org_osv_proc-2018.pdf" TargetMode="External"/><Relationship Id="rId53" Type="http://schemas.openxmlformats.org/officeDocument/2006/relationships/hyperlink" Target="http://senate.univ.kiev.ua/?cat=9" TargetMode="External"/><Relationship Id="rId52" Type="http://schemas.openxmlformats.org/officeDocument/2006/relationships/hyperlink" Target="https://science.knu.ua/upload/iblock/35d/35d232242b24a0d67b42a49bea2b2ea7.pdf" TargetMode="External"/><Relationship Id="rId55" Type="http://schemas.openxmlformats.org/officeDocument/2006/relationships/hyperlink" Target="http://senate.univ.kiev.ua/?p=1997" TargetMode="External"/><Relationship Id="rId54" Type="http://schemas.openxmlformats.org/officeDocument/2006/relationships/hyperlink" Target="https://zakon.rada.gov.ua/laws/show/1187-2015-%D0%BF" TargetMode="External"/><Relationship Id="rId57" Type="http://schemas.openxmlformats.org/officeDocument/2006/relationships/hyperlink" Target="http://mobility.univ.kiev.ua/?page_id=2&amp;lang=uk" TargetMode="External"/><Relationship Id="rId56" Type="http://schemas.openxmlformats.org/officeDocument/2006/relationships/hyperlink" Target="http://www.ipe.knu.ua/" TargetMode="External"/><Relationship Id="rId59" Type="http://schemas.openxmlformats.org/officeDocument/2006/relationships/hyperlink" Target="https://www.facebook.com/kyiv.university/posts/5392026514155920" TargetMode="External"/><Relationship Id="rId58" Type="http://schemas.openxmlformats.org/officeDocument/2006/relationships/hyperlink" Target="http://international.knu.u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9" Type="http://schemas.openxmlformats.org/officeDocument/2006/relationships/font" Target="fonts/HelveticaNeue-boldItalic.ttf"/><Relationship Id="rId5" Type="http://schemas.openxmlformats.org/officeDocument/2006/relationships/font" Target="fonts/Asset-regular.ttf"/><Relationship Id="rId6" Type="http://schemas.openxmlformats.org/officeDocument/2006/relationships/font" Target="fonts/HelveticaNeue-regular.ttf"/><Relationship Id="rId7" Type="http://schemas.openxmlformats.org/officeDocument/2006/relationships/font" Target="fonts/HelveticaNeue-bold.ttf"/><Relationship Id="rId8" Type="http://schemas.openxmlformats.org/officeDocument/2006/relationships/font" Target="fonts/HelveticaNeu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2022-11-01T09:58:00Z</dcterms:created>
  <dc:creator>Пользователь</dc:creator>
</cp:coreProperties>
</file>

<file path=docProps/custom.xml><?xml version="1.0" encoding="utf-8"?>
<Properties xmlns="http://schemas.openxmlformats.org/officeDocument/2006/custom-properties" xmlns:vt="http://schemas.openxmlformats.org/officeDocument/2006/docPropsVTypes"/>
</file>