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66C64D47"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hyperlink r:id="rId10" w:history="1">
              <w:r w:rsidR="007F7055" w:rsidRPr="00AE46A3">
                <w:rPr>
                  <w:rStyle w:val="a5"/>
                  <w:rFonts w:eastAsia="Times New Roman" w:cs="Times New Roman"/>
                  <w:iCs/>
                  <w:szCs w:val="26"/>
                </w:rPr>
                <w:t>https://bit.ly/3w03p7v</w:t>
              </w:r>
            </w:hyperlink>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1"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6353FB4A" w14:textId="27DC2784"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3E4C06E" w14:textId="77777777" w:rsidR="00F859E4" w:rsidRP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40FE0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w:t>
            </w:r>
            <w:r>
              <w:rPr>
                <w:rFonts w:eastAsia="Times New Roman" w:cs="Times New Roman"/>
                <w:i/>
                <w:color w:val="000000"/>
                <w:szCs w:val="26"/>
                <w:highlight w:val="cyan"/>
              </w:rPr>
              <w:lastRenderedPageBreak/>
              <w:t xml:space="preserve">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Обов'язково наводиться інформація про рівень задоволеності здобувачів освіти, що можна підтвердити результатами опитувань.</w:t>
            </w: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5DBA5D8B" w14:textId="51A3816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8A71E97" w14:textId="77777777" w:rsidR="00F859E4" w:rsidRP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основний акцент на </w:t>
            </w:r>
            <w:r>
              <w:rPr>
                <w:rFonts w:eastAsia="Times New Roman" w:cs="Times New Roman"/>
                <w:b/>
                <w:i/>
                <w:color w:val="000000"/>
                <w:szCs w:val="26"/>
                <w:highlight w:val="cyan"/>
              </w:rPr>
              <w:t>академічній свободі викладачів</w:t>
            </w:r>
            <w:r>
              <w:rPr>
                <w:rFonts w:eastAsia="Times New Roman" w:cs="Times New Roman"/>
                <w:i/>
                <w:color w:val="000000"/>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29BD115B"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4F9D15" w14:textId="77777777" w:rsidR="00F859E4" w:rsidRP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71672EA4" w:rsidR="00F859E4" w:rsidRDefault="00F859E4">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1E7544B0" w14:textId="13D8D833" w:rsidR="00F859E4" w:rsidRDefault="00F859E4">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00EAE237" w14:textId="77777777" w:rsidR="00F859E4" w:rsidRDefault="00F859E4">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311C6F7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Організацію дослідницької діяльності студентів та штатних співробітників </w:t>
            </w:r>
            <w:r>
              <w:rPr>
                <w:rFonts w:eastAsia="Times New Roman" w:cs="Times New Roman"/>
                <w:i/>
                <w:color w:val="000000"/>
                <w:szCs w:val="26"/>
                <w:highlight w:val="cyan"/>
              </w:rPr>
              <w:lastRenderedPageBreak/>
              <w:t>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hyperlink r:id="rId12">
              <w:r>
                <w:rPr>
                  <w:rFonts w:eastAsia="Times New Roman" w:cs="Times New Roman"/>
                  <w:i/>
                  <w:color w:val="1155CC"/>
                  <w:szCs w:val="26"/>
                  <w:highlight w:val="cyan"/>
                  <w:u w:val="single"/>
                </w:rPr>
                <w:t>https://science.knu.ua/upload/iblock/ac8/ac863585f8fed22f8f19d1b5fab6537e.doc</w:t>
              </w:r>
            </w:hyperlink>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EBCC165" w14:textId="77777777" w:rsidR="00F859E4" w:rsidRP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31CD759"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p>
          <w:p w14:paraId="547E2D33"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eastAsia="Times New Roman" w:cs="Times New Roman"/>
                <w:b/>
                <w:i/>
                <w:color w:val="000000"/>
                <w:szCs w:val="26"/>
                <w:highlight w:val="cyan"/>
              </w:rPr>
              <w:t>дія раніше затвердженої робочої навчальної програми може бути продовжена, але не більш як 2 роки поспіль</w:t>
            </w:r>
            <w:r>
              <w:rPr>
                <w:rFonts w:eastAsia="Times New Roman" w:cs="Times New Roman"/>
                <w:i/>
                <w:color w:val="000000"/>
                <w:szCs w:val="26"/>
                <w:highlight w:val="cyan"/>
              </w:rPr>
              <w:t>.</w:t>
            </w: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77777777" w:rsidR="00F859E4" w:rsidRP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0565C25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Тут не слід розповідати про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32B8F869" w14:textId="5FACAC01"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13">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14">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E4F7EBF" w14:textId="77777777" w:rsidR="00E977E7" w:rsidRDefault="00E977E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додати що в умовах карантину і воєнного стану також діє Тимчасовий порядок проведення </w:t>
            </w:r>
            <w:proofErr w:type="spellStart"/>
            <w:r>
              <w:rPr>
                <w:rFonts w:eastAsia="Times New Roman" w:cs="Times New Roman"/>
                <w:i/>
                <w:color w:val="000000"/>
                <w:szCs w:val="26"/>
                <w:highlight w:val="cyan"/>
              </w:rPr>
              <w:t>заліково</w:t>
            </w:r>
            <w:proofErr w:type="spellEnd"/>
            <w:r>
              <w:rPr>
                <w:rFonts w:eastAsia="Times New Roman" w:cs="Times New Roman"/>
                <w:i/>
                <w:color w:val="000000"/>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15">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 w:name="_heading=h.tyjcwt" w:colFirst="0" w:colLast="0"/>
            <w:bookmarkEnd w:id="2"/>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vgvpfoc47tpx" w:colFirst="0" w:colLast="0"/>
            <w:bookmarkEnd w:id="3"/>
            <w:r>
              <w:rPr>
                <w:rFonts w:eastAsia="Times New Roman" w:cs="Times New Roman"/>
                <w:i/>
                <w:color w:val="000000"/>
                <w:szCs w:val="26"/>
                <w:highlight w:val="cyan"/>
              </w:rPr>
              <w:lastRenderedPageBreak/>
              <w:t xml:space="preserve">Процедури запобігання та врегулювання конфлікту інтересів регламентуються  </w:t>
            </w:r>
            <w:hyperlink r:id="rId16">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п.п</w:t>
            </w:r>
            <w:proofErr w:type="spellEnd"/>
            <w:r>
              <w:rPr>
                <w:rFonts w:eastAsia="Times New Roman" w:cs="Times New Roman"/>
                <w:i/>
                <w:color w:val="000000"/>
                <w:szCs w:val="26"/>
                <w:highlight w:val="cyan"/>
              </w:rPr>
              <w:t xml:space="preserve">. 7.1.7.-7.1.9.)  та  </w:t>
            </w:r>
            <w:hyperlink r:id="rId17">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18">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19">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4" w:name="_heading=h.3dy6vkm" w:colFirst="0" w:colLast="0"/>
          <w:bookmarkEnd w:id="4"/>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20">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nmc.univ.kiev.ua/</w:t>
            </w:r>
            <w:proofErr w:type="spellStart"/>
            <w:r>
              <w:rPr>
                <w:rFonts w:eastAsia="Times New Roman" w:cs="Times New Roman"/>
                <w:i/>
                <w:color w:val="0000FF"/>
                <w:szCs w:val="26"/>
                <w:highlight w:val="cyan"/>
                <w:u w:val="single"/>
              </w:rPr>
              <w:t>docs</w:t>
            </w:r>
            <w:proofErr w:type="spellEnd"/>
            <w:r>
              <w:rPr>
                <w:rFonts w:eastAsia="Times New Roman" w:cs="Times New Roman"/>
                <w:i/>
                <w:color w:val="0000FF"/>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21">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Етичний кодекс університетської спільноти: </w:t>
            </w:r>
            <w:hyperlink r:id="rId22">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КНУТШ: </w:t>
            </w:r>
            <w:hyperlink r:id="rId23">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“Про репутаційну політику КНУТШ”: </w:t>
            </w:r>
            <w:hyperlink r:id="rId24">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25">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w:t>
            </w:r>
            <w:proofErr w:type="spellStart"/>
            <w:r>
              <w:rPr>
                <w:rFonts w:eastAsia="Times New Roman" w:cs="Times New Roman"/>
                <w:i/>
                <w:color w:val="000000"/>
                <w:szCs w:val="26"/>
                <w:highlight w:val="cyan"/>
              </w:rPr>
              <w:t>академічної</w:t>
            </w:r>
            <w:proofErr w:type="spellEnd"/>
            <w:r>
              <w:rPr>
                <w:rFonts w:eastAsia="Times New Roman" w:cs="Times New Roman"/>
                <w:i/>
                <w:color w:val="000000"/>
                <w:szCs w:val="26"/>
                <w:highlight w:val="cyan"/>
              </w:rPr>
              <w:t xml:space="preserve"> доброчесності у КНУТШ: </w:t>
            </w:r>
            <w:hyperlink r:id="rId26">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27">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28">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eastAsia="Times New Roman" w:cs="Times New Roman"/>
                <w:i/>
                <w:color w:val="000000"/>
                <w:szCs w:val="26"/>
                <w:highlight w:val="cyan"/>
              </w:rPr>
              <w:t>UniChec</w:t>
            </w:r>
            <w:proofErr w:type="spellEnd"/>
            <w:r>
              <w:rPr>
                <w:rFonts w:eastAsia="Times New Roman" w:cs="Times New Roman"/>
                <w:i/>
                <w:color w:val="000000"/>
                <w:szCs w:val="26"/>
                <w:highlight w:val="cyan"/>
              </w:rPr>
              <w:t xml:space="preserve">. Можна також, як доповнення щодо вжиття заходів з унеможливлення </w:t>
            </w:r>
            <w:proofErr w:type="spellStart"/>
            <w:r>
              <w:rPr>
                <w:rFonts w:eastAsia="Times New Roman" w:cs="Times New Roman"/>
                <w:i/>
                <w:color w:val="000000"/>
                <w:szCs w:val="26"/>
                <w:highlight w:val="cyan"/>
              </w:rPr>
              <w:t>недоброчесності</w:t>
            </w:r>
            <w:proofErr w:type="spellEnd"/>
            <w:r>
              <w:rPr>
                <w:rFonts w:eastAsia="Times New Roman" w:cs="Times New Roman"/>
                <w:i/>
                <w:color w:val="000000"/>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eastAsia="Times New Roman" w:cs="Times New Roman"/>
                <w:i/>
                <w:color w:val="000000"/>
                <w:szCs w:val="26"/>
                <w:highlight w:val="cyan"/>
              </w:rPr>
              <w:t>репозитарію</w:t>
            </w:r>
            <w:proofErr w:type="spellEnd"/>
            <w:r>
              <w:rPr>
                <w:rFonts w:eastAsia="Times New Roman" w:cs="Times New Roman"/>
                <w:i/>
                <w:color w:val="000000"/>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9">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30">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eastAsia="Times New Roman" w:cs="Times New Roman"/>
                <w:i/>
                <w:color w:val="000000"/>
                <w:szCs w:val="26"/>
                <w:highlight w:val="cyan"/>
              </w:rPr>
              <w:t>студпарламенту</w:t>
            </w:r>
            <w:proofErr w:type="spellEnd"/>
            <w:r>
              <w:rPr>
                <w:rFonts w:eastAsia="Times New Roman" w:cs="Times New Roman"/>
                <w:i/>
                <w:color w:val="000000"/>
                <w:szCs w:val="26"/>
                <w:highlight w:val="cyan"/>
              </w:rPr>
              <w:t xml:space="preserve"> </w:t>
            </w:r>
            <w:hyperlink r:id="rId31">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w:t>
            </w:r>
            <w:proofErr w:type="spellStart"/>
            <w:r>
              <w:rPr>
                <w:rFonts w:eastAsia="Times New Roman" w:cs="Times New Roman"/>
                <w:i/>
                <w:color w:val="000000"/>
                <w:szCs w:val="26"/>
                <w:highlight w:val="cyan"/>
              </w:rPr>
              <w:t>проєктах</w:t>
            </w:r>
            <w:proofErr w:type="spellEnd"/>
            <w:r>
              <w:rPr>
                <w:rFonts w:eastAsia="Times New Roman" w:cs="Times New Roman"/>
                <w:i/>
                <w:color w:val="000000"/>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w:t>
            </w:r>
            <w:r>
              <w:rPr>
                <w:rFonts w:eastAsia="Times New Roman" w:cs="Times New Roman"/>
                <w:i/>
                <w:color w:val="000000"/>
                <w:szCs w:val="26"/>
                <w:highlight w:val="cyan"/>
              </w:rPr>
              <w:lastRenderedPageBreak/>
              <w:t xml:space="preserve">процесу.  Наприклад, один з останніх -  </w:t>
            </w:r>
            <w:proofErr w:type="spellStart"/>
            <w:r>
              <w:rPr>
                <w:rFonts w:eastAsia="Times New Roman" w:cs="Times New Roman"/>
                <w:i/>
                <w:color w:val="000000"/>
                <w:sz w:val="25"/>
                <w:szCs w:val="25"/>
                <w:highlight w:val="cyan"/>
              </w:rPr>
              <w:t>проєкт</w:t>
            </w:r>
            <w:proofErr w:type="spellEnd"/>
            <w:r>
              <w:rPr>
                <w:rFonts w:eastAsia="Times New Roman" w:cs="Times New Roman"/>
                <w:i/>
                <w:color w:val="000000"/>
                <w:sz w:val="25"/>
                <w:szCs w:val="25"/>
                <w:highlight w:val="cyan"/>
              </w:rPr>
              <w:t xml:space="preserve"> «Ініціатива академічної доброчесності та якості освіти»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Integrity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and</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Quality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Initiative</w:t>
            </w:r>
            <w:proofErr w:type="spellEnd"/>
            <w:r>
              <w:rPr>
                <w:rFonts w:eastAsia="Times New Roman" w:cs="Times New Roman"/>
                <w:i/>
                <w:color w:val="000000"/>
                <w:sz w:val="25"/>
                <w:szCs w:val="25"/>
                <w:highlight w:val="cyan"/>
              </w:rPr>
              <w:t xml:space="preserve"> –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32">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33">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5" w:name="_heading=h.4d34og8" w:colFirst="0" w:colLast="0"/>
            <w:bookmarkEnd w:id="5"/>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34">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35">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36">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37">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38">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s8eyo1" w:colFirst="0" w:colLast="0"/>
            <w:bookmarkEnd w:id="6"/>
            <w:r>
              <w:rPr>
                <w:rFonts w:eastAsia="Times New Roman" w:cs="Times New Roman"/>
                <w:i/>
                <w:color w:val="000000"/>
                <w:szCs w:val="26"/>
                <w:highlight w:val="cyan"/>
              </w:rPr>
              <w:t xml:space="preserve">Інститут післядипломної освіти </w:t>
            </w:r>
            <w:hyperlink r:id="rId39">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7" w:name="_heading=h.yzbtuwyjy319" w:colFirst="0" w:colLast="0"/>
            <w:bookmarkEnd w:id="7"/>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40">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17dp8vu" w:colFirst="0" w:colLast="0"/>
            <w:bookmarkEnd w:id="8"/>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41">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22buxf21tmfi" w:colFirst="0" w:colLast="0"/>
            <w:bookmarkEnd w:id="9"/>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3z28ymii7sfi" w:colFirst="0" w:colLast="0"/>
            <w:bookmarkEnd w:id="10"/>
            <w:r>
              <w:rPr>
                <w:rFonts w:eastAsia="Times New Roman" w:cs="Times New Roman"/>
                <w:i/>
                <w:color w:val="000000"/>
                <w:szCs w:val="26"/>
                <w:highlight w:val="cyan"/>
              </w:rPr>
              <w:lastRenderedPageBreak/>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11" w:name="_heading=h.3rdcrjn" w:colFirst="0" w:colLast="0"/>
          <w:bookmarkEnd w:id="11"/>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2" w:name="_heading=h.vtjedegudb7m" w:colFirst="0" w:colLast="0"/>
            <w:bookmarkEnd w:id="12"/>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42">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43"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44"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45">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w:t>
            </w:r>
            <w:proofErr w:type="spellStart"/>
            <w:r>
              <w:rPr>
                <w:rFonts w:eastAsia="Times New Roman" w:cs="Times New Roman"/>
                <w:i/>
                <w:color w:val="000000"/>
                <w:szCs w:val="26"/>
                <w:highlight w:val="cyan"/>
              </w:rPr>
              <w:t>проєкті</w:t>
            </w:r>
            <w:proofErr w:type="spellEnd"/>
            <w:r>
              <w:rPr>
                <w:rFonts w:eastAsia="Times New Roman" w:cs="Times New Roman"/>
                <w:i/>
                <w:color w:val="000000"/>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46">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w:t>
            </w:r>
            <w:r>
              <w:rPr>
                <w:rFonts w:eastAsia="Times New Roman" w:cs="Times New Roman"/>
                <w:i/>
                <w:color w:val="000000"/>
                <w:szCs w:val="26"/>
                <w:highlight w:val="cyan"/>
              </w:rPr>
              <w:lastRenderedPageBreak/>
              <w:t xml:space="preserve">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47">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48">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49">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50">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51">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52">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53">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54">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3" w:name="_heading=h.26in1rg" w:colFirst="0" w:colLast="0"/>
            <w:bookmarkEnd w:id="13"/>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4" w:name="_heading=h.rob95ato3sri" w:colFirst="0" w:colLast="0"/>
            <w:bookmarkEnd w:id="14"/>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vegfy1x42dzj" w:colFirst="0" w:colLast="0"/>
            <w:bookmarkEnd w:id="15"/>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6" w:name="_heading=h.6i3pngewtsd4" w:colFirst="0" w:colLast="0"/>
            <w:bookmarkEnd w:id="16"/>
            <w:r>
              <w:rPr>
                <w:rFonts w:eastAsia="Times New Roman" w:cs="Times New Roman"/>
                <w:i/>
                <w:color w:val="000000"/>
                <w:szCs w:val="26"/>
                <w:highlight w:val="cyan"/>
              </w:rPr>
              <w:t xml:space="preserve">Відділ академічної мобільності </w:t>
            </w:r>
            <w:hyperlink r:id="rId55">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31pobckmw6va" w:colFirst="0" w:colLast="0"/>
            <w:bookmarkEnd w:id="17"/>
            <w:r>
              <w:rPr>
                <w:rFonts w:eastAsia="Times New Roman" w:cs="Times New Roman"/>
                <w:i/>
                <w:color w:val="000000"/>
                <w:szCs w:val="26"/>
                <w:highlight w:val="cyan"/>
              </w:rPr>
              <w:t xml:space="preserve">Відділ сприяння працевлаштуванню </w:t>
            </w:r>
            <w:hyperlink r:id="rId56">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0ej73aj5u2y" w:colFirst="0" w:colLast="0"/>
            <w:bookmarkEnd w:id="18"/>
            <w:r>
              <w:rPr>
                <w:rFonts w:eastAsia="Times New Roman" w:cs="Times New Roman"/>
                <w:i/>
                <w:color w:val="000000"/>
                <w:szCs w:val="26"/>
                <w:highlight w:val="cyan"/>
              </w:rPr>
              <w:t xml:space="preserve">Спорткомплекс - </w:t>
            </w:r>
            <w:hyperlink r:id="rId57">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xttwsp3bf9is" w:colFirst="0" w:colLast="0"/>
            <w:bookmarkEnd w:id="19"/>
            <w:r>
              <w:rPr>
                <w:rFonts w:eastAsia="Times New Roman" w:cs="Times New Roman"/>
                <w:i/>
                <w:color w:val="000000"/>
                <w:szCs w:val="26"/>
                <w:highlight w:val="cyan"/>
              </w:rPr>
              <w:t xml:space="preserve">Молодіжний центр культурно-естетичного виховання </w:t>
            </w:r>
            <w:hyperlink r:id="rId58">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mkr6pk22o8rx" w:colFirst="0" w:colLast="0"/>
            <w:bookmarkEnd w:id="20"/>
            <w:r>
              <w:rPr>
                <w:rFonts w:eastAsia="Times New Roman" w:cs="Times New Roman"/>
                <w:i/>
                <w:color w:val="000000"/>
                <w:szCs w:val="26"/>
                <w:highlight w:val="cyan"/>
              </w:rPr>
              <w:t xml:space="preserve">Центр комунікацій </w:t>
            </w:r>
            <w:hyperlink r:id="rId59">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u1tlexnvol7" w:colFirst="0" w:colLast="0"/>
            <w:bookmarkEnd w:id="21"/>
            <w:r>
              <w:rPr>
                <w:rFonts w:eastAsia="Times New Roman" w:cs="Times New Roman"/>
                <w:i/>
                <w:color w:val="000000"/>
                <w:szCs w:val="26"/>
                <w:highlight w:val="cyan"/>
              </w:rPr>
              <w:t xml:space="preserve">Наукове товариство студентів та аспірантів </w:t>
            </w:r>
            <w:hyperlink r:id="rId60">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61">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2">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w:t>
            </w:r>
            <w:r>
              <w:rPr>
                <w:rFonts w:eastAsia="Times New Roman" w:cs="Times New Roman"/>
                <w:i/>
                <w:color w:val="000000"/>
                <w:szCs w:val="26"/>
                <w:highlight w:val="cyan"/>
              </w:rPr>
              <w:lastRenderedPageBreak/>
              <w:t xml:space="preserve">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3">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4">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5">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6">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7">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8">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69">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fq245xxlqgdg" w:colFirst="0" w:colLast="0"/>
            <w:bookmarkEnd w:id="22"/>
            <w:r>
              <w:rPr>
                <w:rFonts w:eastAsia="Times New Roman" w:cs="Times New Roman"/>
                <w:i/>
                <w:color w:val="000000"/>
                <w:szCs w:val="26"/>
                <w:highlight w:val="cyan"/>
              </w:rPr>
              <w:t xml:space="preserve">Порядок вирішення конфліктних ситуацій у КНУТШ </w:t>
            </w:r>
            <w:hyperlink r:id="rId70">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71">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72">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73">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74">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w:t>
            </w:r>
            <w:r>
              <w:rPr>
                <w:rFonts w:eastAsia="Times New Roman" w:cs="Times New Roman"/>
                <w:i/>
                <w:color w:val="000000"/>
                <w:szCs w:val="26"/>
                <w:highlight w:val="cyan"/>
              </w:rPr>
              <w:lastRenderedPageBreak/>
              <w:t>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3" w:name="_heading=h.44sinio" w:colFirst="0" w:colLast="0"/>
            <w:bookmarkEnd w:id="23"/>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75">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76">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У ЦЬОМУ ПУНКТІ НЕ НАВОДИТЬСЯ ІНФОРМАЦІЯ ПРО </w:t>
            </w:r>
            <w:r>
              <w:rPr>
                <w:rFonts w:eastAsia="Times New Roman" w:cs="Times New Roman"/>
                <w:i/>
                <w:color w:val="000000"/>
                <w:szCs w:val="26"/>
                <w:highlight w:val="cyan"/>
              </w:rPr>
              <w:lastRenderedPageBreak/>
              <w:t>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77">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8">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9">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0">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w:t>
            </w:r>
            <w:r>
              <w:rPr>
                <w:rFonts w:eastAsia="Times New Roman" w:cs="Times New Roman"/>
                <w:i/>
                <w:color w:val="000000"/>
                <w:szCs w:val="26"/>
                <w:highlight w:val="cyan"/>
              </w:rPr>
              <w:lastRenderedPageBreak/>
              <w:t xml:space="preserve">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81">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82">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lastRenderedPageBreak/>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3">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84">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5">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6">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87">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8">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4" w:name="_heading=h.lnxbz9" w:colFirst="0" w:colLast="0"/>
            <w:bookmarkEnd w:id="24"/>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89">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2oqu5o35z79g" w:colFirst="0" w:colLast="0"/>
            <w:bookmarkEnd w:id="25"/>
            <w:r>
              <w:rPr>
                <w:rFonts w:eastAsia="Times New Roman" w:cs="Times New Roman"/>
                <w:i/>
                <w:color w:val="000000"/>
                <w:szCs w:val="26"/>
                <w:highlight w:val="cyan"/>
              </w:rPr>
              <w:t xml:space="preserve">Порядок вирішення конфліктних ситуацій у </w:t>
            </w:r>
            <w:hyperlink r:id="rId90">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1">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hm9hjsmvehq5" w:colFirst="0" w:colLast="0"/>
            <w:bookmarkEnd w:id="26"/>
            <w:r>
              <w:rPr>
                <w:rFonts w:eastAsia="Times New Roman" w:cs="Times New Roman"/>
                <w:i/>
                <w:color w:val="000000"/>
                <w:szCs w:val="26"/>
                <w:highlight w:val="cyan"/>
              </w:rPr>
              <w:t xml:space="preserve">Положення про гаранта освітньої програми в </w:t>
            </w:r>
            <w:hyperlink r:id="rId92">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3">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94">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95"/>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3E6DA" w14:textId="77777777" w:rsidR="000B1978" w:rsidRDefault="000B1978">
      <w:pPr>
        <w:spacing w:line="240" w:lineRule="auto"/>
        <w:ind w:left="0" w:hanging="3"/>
      </w:pPr>
      <w:r>
        <w:separator/>
      </w:r>
    </w:p>
  </w:endnote>
  <w:endnote w:type="continuationSeparator" w:id="0">
    <w:p w14:paraId="50D84913" w14:textId="77777777" w:rsidR="000B1978" w:rsidRDefault="000B1978">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04F15" w14:textId="77777777" w:rsidR="000B1978" w:rsidRDefault="000B1978">
      <w:pPr>
        <w:spacing w:line="240" w:lineRule="auto"/>
        <w:ind w:left="0" w:hanging="3"/>
      </w:pPr>
      <w:r>
        <w:separator/>
      </w:r>
    </w:p>
  </w:footnote>
  <w:footnote w:type="continuationSeparator" w:id="0">
    <w:p w14:paraId="673EC0C7" w14:textId="77777777" w:rsidR="000B1978" w:rsidRDefault="000B1978">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B16"/>
    <w:rsid w:val="00051DE9"/>
    <w:rsid w:val="00072639"/>
    <w:rsid w:val="000752AD"/>
    <w:rsid w:val="00095EDF"/>
    <w:rsid w:val="000B1978"/>
    <w:rsid w:val="000B267A"/>
    <w:rsid w:val="000C7F1C"/>
    <w:rsid w:val="000D5497"/>
    <w:rsid w:val="000F3734"/>
    <w:rsid w:val="000F552B"/>
    <w:rsid w:val="000F737B"/>
    <w:rsid w:val="00160EAC"/>
    <w:rsid w:val="00192DDE"/>
    <w:rsid w:val="001A741B"/>
    <w:rsid w:val="001B56E2"/>
    <w:rsid w:val="001B7DD6"/>
    <w:rsid w:val="001D04A4"/>
    <w:rsid w:val="001F5806"/>
    <w:rsid w:val="001F75AD"/>
    <w:rsid w:val="00212939"/>
    <w:rsid w:val="002374F8"/>
    <w:rsid w:val="002422EF"/>
    <w:rsid w:val="00243D69"/>
    <w:rsid w:val="00274057"/>
    <w:rsid w:val="00276E24"/>
    <w:rsid w:val="0029017A"/>
    <w:rsid w:val="002928F9"/>
    <w:rsid w:val="002B08F2"/>
    <w:rsid w:val="002B1D70"/>
    <w:rsid w:val="002D38A5"/>
    <w:rsid w:val="002E0777"/>
    <w:rsid w:val="002E5102"/>
    <w:rsid w:val="00302593"/>
    <w:rsid w:val="00325773"/>
    <w:rsid w:val="00332C46"/>
    <w:rsid w:val="003342CC"/>
    <w:rsid w:val="003441B3"/>
    <w:rsid w:val="00351C5A"/>
    <w:rsid w:val="003576A2"/>
    <w:rsid w:val="00361B49"/>
    <w:rsid w:val="00375332"/>
    <w:rsid w:val="003C4164"/>
    <w:rsid w:val="003F4B17"/>
    <w:rsid w:val="00420A80"/>
    <w:rsid w:val="00430A6C"/>
    <w:rsid w:val="00430BE4"/>
    <w:rsid w:val="00460EA4"/>
    <w:rsid w:val="00460EBA"/>
    <w:rsid w:val="00472CF0"/>
    <w:rsid w:val="004737E6"/>
    <w:rsid w:val="00482149"/>
    <w:rsid w:val="004850BE"/>
    <w:rsid w:val="004A185E"/>
    <w:rsid w:val="004B6932"/>
    <w:rsid w:val="004B740D"/>
    <w:rsid w:val="004F73F1"/>
    <w:rsid w:val="005056E9"/>
    <w:rsid w:val="005074EE"/>
    <w:rsid w:val="00510C2A"/>
    <w:rsid w:val="00530B7B"/>
    <w:rsid w:val="00540055"/>
    <w:rsid w:val="00572782"/>
    <w:rsid w:val="00576562"/>
    <w:rsid w:val="00591677"/>
    <w:rsid w:val="00594B7A"/>
    <w:rsid w:val="00595634"/>
    <w:rsid w:val="00597080"/>
    <w:rsid w:val="005A2C35"/>
    <w:rsid w:val="005A47E7"/>
    <w:rsid w:val="005B61F1"/>
    <w:rsid w:val="00610AA1"/>
    <w:rsid w:val="006303FB"/>
    <w:rsid w:val="006368AC"/>
    <w:rsid w:val="0065030F"/>
    <w:rsid w:val="00656B47"/>
    <w:rsid w:val="00657B1A"/>
    <w:rsid w:val="00695630"/>
    <w:rsid w:val="006A47C7"/>
    <w:rsid w:val="006C1BCB"/>
    <w:rsid w:val="006C3871"/>
    <w:rsid w:val="006D0FD3"/>
    <w:rsid w:val="006E7983"/>
    <w:rsid w:val="006F219E"/>
    <w:rsid w:val="00737EB2"/>
    <w:rsid w:val="00747C8C"/>
    <w:rsid w:val="00792D6C"/>
    <w:rsid w:val="007A798E"/>
    <w:rsid w:val="007D5EC3"/>
    <w:rsid w:val="007F497C"/>
    <w:rsid w:val="007F7055"/>
    <w:rsid w:val="00824FE2"/>
    <w:rsid w:val="00833917"/>
    <w:rsid w:val="00841183"/>
    <w:rsid w:val="00852E6B"/>
    <w:rsid w:val="00871004"/>
    <w:rsid w:val="00877154"/>
    <w:rsid w:val="00877CA6"/>
    <w:rsid w:val="008B0D60"/>
    <w:rsid w:val="008B11E6"/>
    <w:rsid w:val="008C62EC"/>
    <w:rsid w:val="008D017D"/>
    <w:rsid w:val="008D1624"/>
    <w:rsid w:val="008D3BD4"/>
    <w:rsid w:val="008F6C5E"/>
    <w:rsid w:val="009070E0"/>
    <w:rsid w:val="009159FF"/>
    <w:rsid w:val="00931EAE"/>
    <w:rsid w:val="009444C3"/>
    <w:rsid w:val="00947EA2"/>
    <w:rsid w:val="00962344"/>
    <w:rsid w:val="00970A72"/>
    <w:rsid w:val="009776F5"/>
    <w:rsid w:val="009A065F"/>
    <w:rsid w:val="009C5F1B"/>
    <w:rsid w:val="009D6FC6"/>
    <w:rsid w:val="009E32A6"/>
    <w:rsid w:val="009E6F9C"/>
    <w:rsid w:val="009F6BC1"/>
    <w:rsid w:val="00A03B77"/>
    <w:rsid w:val="00A04537"/>
    <w:rsid w:val="00A13CB1"/>
    <w:rsid w:val="00A146FE"/>
    <w:rsid w:val="00A1727A"/>
    <w:rsid w:val="00A62082"/>
    <w:rsid w:val="00A771C7"/>
    <w:rsid w:val="00AA0784"/>
    <w:rsid w:val="00AC327D"/>
    <w:rsid w:val="00AC5854"/>
    <w:rsid w:val="00AC7A25"/>
    <w:rsid w:val="00AD4BEB"/>
    <w:rsid w:val="00AD7433"/>
    <w:rsid w:val="00AE05FC"/>
    <w:rsid w:val="00AE22E8"/>
    <w:rsid w:val="00AE663B"/>
    <w:rsid w:val="00B10DE4"/>
    <w:rsid w:val="00B1107E"/>
    <w:rsid w:val="00B242FF"/>
    <w:rsid w:val="00B64086"/>
    <w:rsid w:val="00B7666D"/>
    <w:rsid w:val="00B85C60"/>
    <w:rsid w:val="00B96987"/>
    <w:rsid w:val="00BB5FC9"/>
    <w:rsid w:val="00BC0B20"/>
    <w:rsid w:val="00C0268A"/>
    <w:rsid w:val="00C04D2A"/>
    <w:rsid w:val="00C12992"/>
    <w:rsid w:val="00C1764A"/>
    <w:rsid w:val="00C17896"/>
    <w:rsid w:val="00C21358"/>
    <w:rsid w:val="00C217EC"/>
    <w:rsid w:val="00C50AE7"/>
    <w:rsid w:val="00C63A2F"/>
    <w:rsid w:val="00C8100F"/>
    <w:rsid w:val="00C87586"/>
    <w:rsid w:val="00C95C88"/>
    <w:rsid w:val="00CA43BB"/>
    <w:rsid w:val="00CC4FB5"/>
    <w:rsid w:val="00CD72E4"/>
    <w:rsid w:val="00CE3A02"/>
    <w:rsid w:val="00CE5D03"/>
    <w:rsid w:val="00CE7D80"/>
    <w:rsid w:val="00CF4450"/>
    <w:rsid w:val="00D136A3"/>
    <w:rsid w:val="00D35562"/>
    <w:rsid w:val="00D4047C"/>
    <w:rsid w:val="00D4066F"/>
    <w:rsid w:val="00D408E6"/>
    <w:rsid w:val="00D43C2E"/>
    <w:rsid w:val="00DB2246"/>
    <w:rsid w:val="00DD66B4"/>
    <w:rsid w:val="00E114A8"/>
    <w:rsid w:val="00E15A62"/>
    <w:rsid w:val="00E522C4"/>
    <w:rsid w:val="00E576C5"/>
    <w:rsid w:val="00E630A6"/>
    <w:rsid w:val="00E67FBB"/>
    <w:rsid w:val="00E870FF"/>
    <w:rsid w:val="00E94B27"/>
    <w:rsid w:val="00E977E7"/>
    <w:rsid w:val="00EA4E7E"/>
    <w:rsid w:val="00EC01E6"/>
    <w:rsid w:val="00EC3231"/>
    <w:rsid w:val="00EE0968"/>
    <w:rsid w:val="00EE349B"/>
    <w:rsid w:val="00EF114E"/>
    <w:rsid w:val="00F1188F"/>
    <w:rsid w:val="00F66721"/>
    <w:rsid w:val="00F819B8"/>
    <w:rsid w:val="00F83B3C"/>
    <w:rsid w:val="00F859E4"/>
    <w:rsid w:val="00F96A04"/>
    <w:rsid w:val="00FB04DB"/>
    <w:rsid w:val="00FD5B19"/>
    <w:rsid w:val="00FF2C0C"/>
    <w:rsid w:val="00FF305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ate.univ.kiev.ua/?p=2104" TargetMode="External"/><Relationship Id="rId21" Type="http://schemas.openxmlformats.org/officeDocument/2006/relationships/hyperlink" Target="http://nmc.univ.kiev.ua/docs/Poloz_org_osv_proc-2018.pdf" TargetMode="External"/><Relationship Id="rId42" Type="http://schemas.openxmlformats.org/officeDocument/2006/relationships/hyperlink" Target="http://www.univ.kiev.ua/news/11415" TargetMode="External"/><Relationship Id="rId47" Type="http://schemas.openxmlformats.org/officeDocument/2006/relationships/hyperlink" Target="http://langcenter.knu.ua" TargetMode="External"/><Relationship Id="rId63" Type="http://schemas.openxmlformats.org/officeDocument/2006/relationships/hyperlink" Target="http://www.univ.kiev.ua/pdfs/equal-opportunities/Concept-of-inclusive-education-development.pdf" TargetMode="External"/><Relationship Id="rId68" Type="http://schemas.openxmlformats.org/officeDocument/2006/relationships/hyperlink" Target="https://www.knu.ua/pdfs/equal-opportunities/Poryadok-suprovodu-osib-z-invalidnistyu.pdf" TargetMode="External"/><Relationship Id="rId84" Type="http://schemas.openxmlformats.org/officeDocument/2006/relationships/hyperlink" Target="https://knu.ua/pdfs/official/must-published/statut-22-02-17.pdf" TargetMode="External"/><Relationship Id="rId89" Type="http://schemas.openxmlformats.org/officeDocument/2006/relationships/hyperlink" Target="https://www.knu.ua/pdfs/official/ethical-code/Ethical-code-of-the-university-community.pdf" TargetMode="External"/><Relationship Id="rId16" Type="http://schemas.openxmlformats.org/officeDocument/2006/relationships/hyperlink" Target="http://nmc.univ.kiev.ua/docs/Poloz_org_osv_proc-2018.pdf" TargetMode="External"/><Relationship Id="rId11" Type="http://schemas.openxmlformats.org/officeDocument/2006/relationships/hyperlink" Target="https://phys.knu.ua/wpcontent/uploads/2022/10/nakaz_pereveden_ivt_ff_09092020.pdf" TargetMode="External"/><Relationship Id="rId32" Type="http://schemas.openxmlformats.org/officeDocument/2006/relationships/hyperlink" Target="https://academiq.org.ua/pro-proekt/" TargetMode="External"/><Relationship Id="rId37" Type="http://schemas.openxmlformats.org/officeDocument/2006/relationships/hyperlink" Target="https://zakon.rada.gov.ua/laws/show/1187-2015-%D0%BF" TargetMode="External"/><Relationship Id="rId53" Type="http://schemas.openxmlformats.org/officeDocument/2006/relationships/hyperlink" Target="https://clinic.knu.ua/" TargetMode="External"/><Relationship Id="rId58" Type="http://schemas.openxmlformats.org/officeDocument/2006/relationships/hyperlink" Target="https://www.knu.ua/ua/dep/molod-center" TargetMode="External"/><Relationship Id="rId74" Type="http://schemas.openxmlformats.org/officeDocument/2006/relationships/hyperlink" Target="http://nmc.univ.kiev.ua/docs/Nakaz_Form_Doc-729-32_11-08-2017.pdf" TargetMode="External"/><Relationship Id="rId79" Type="http://schemas.openxmlformats.org/officeDocument/2006/relationships/hyperlink" Target="http://senate.univ.kiev.ua/?p=1894" TargetMode="External"/><Relationship Id="rId5" Type="http://schemas.openxmlformats.org/officeDocument/2006/relationships/webSettings" Target="webSettings.xml"/><Relationship Id="rId90" Type="http://schemas.openxmlformats.org/officeDocument/2006/relationships/hyperlink" Target="http://nmc.univ.kiev.ua/docs/Poloz_org_osv_proc-2018.pdf" TargetMode="External"/><Relationship Id="rId95" Type="http://schemas.openxmlformats.org/officeDocument/2006/relationships/footer" Target="footer1.xml"/><Relationship Id="rId22" Type="http://schemas.openxmlformats.org/officeDocument/2006/relationships/hyperlink" Target="https://www.knu.ua/pdfs/official/ethical-code/Ethical-code-of-the-university-community.pdf" TargetMode="External"/><Relationship Id="rId27" Type="http://schemas.openxmlformats.org/officeDocument/2006/relationships/hyperlink" Target="http://senate.univ.kiev.ua/?p=1352" TargetMode="External"/><Relationship Id="rId43" Type="http://schemas.openxmlformats.org/officeDocument/2006/relationships/hyperlink" Target="http://www.ipe.knu.ua/" TargetMode="External"/><Relationship Id="rId48" Type="http://schemas.openxmlformats.org/officeDocument/2006/relationships/hyperlink" Target="http://unidos.univ.kiev.ua/" TargetMode="External"/><Relationship Id="rId64" Type="http://schemas.openxmlformats.org/officeDocument/2006/relationships/hyperlink" Target="https://www.knu.ua/pdfs/equal-opportunities/Concept-of-inclusive-education-development.pdf" TargetMode="External"/><Relationship Id="rId69" Type="http://schemas.openxmlformats.org/officeDocument/2006/relationships/hyperlink" Target="https://www.knu.ua/pdfs/official/Polozhennia-pro-organizatsiyu-osvitniogo-procesu-11_04_2022.pdf" TargetMode="External"/><Relationship Id="rId80" Type="http://schemas.openxmlformats.org/officeDocument/2006/relationships/hyperlink" Target="http://senate.univ.kiev.ua/?p=2123" TargetMode="External"/><Relationship Id="rId85" Type="http://schemas.openxmlformats.org/officeDocument/2006/relationships/hyperlink" Target="http://nmc.univ.kiev.ua/docs/Poloz_org_osv_proc-2018.pdf" TargetMode="External"/><Relationship Id="rId3" Type="http://schemas.openxmlformats.org/officeDocument/2006/relationships/styles" Target="styles.xml"/><Relationship Id="rId12" Type="http://schemas.openxmlformats.org/officeDocument/2006/relationships/hyperlink" Target="https://science.knu.ua/upload/iblock/ac8/ac863585f8fed22f8f19d1b5fab6537e.doc" TargetMode="External"/><Relationship Id="rId17" Type="http://schemas.openxmlformats.org/officeDocument/2006/relationships/hyperlink" Target="http://www.univ.kiev.ua/pdfs/official/Procedure-for-resolving-conflict-situations-in-University.pdf" TargetMode="External"/><Relationship Id="rId25" Type="http://schemas.openxmlformats.org/officeDocument/2006/relationships/hyperlink" Target="http://senate.univ.kiev.ua/?p=1733" TargetMode="External"/><Relationship Id="rId33" Type="http://schemas.openxmlformats.org/officeDocument/2006/relationships/hyperlink" Target="http://nmc.univ.kiev.ua/docs/Poloz_org_osv_proc-2018.pdf" TargetMode="External"/><Relationship Id="rId38" Type="http://schemas.openxmlformats.org/officeDocument/2006/relationships/hyperlink" Target="http://senate.univ.kiev.ua/?p=1997" TargetMode="External"/><Relationship Id="rId46" Type="http://schemas.openxmlformats.org/officeDocument/2006/relationships/hyperlink" Target="https://www.facebook.com/KNUprofessionals/about" TargetMode="External"/><Relationship Id="rId59" Type="http://schemas.openxmlformats.org/officeDocument/2006/relationships/hyperlink" Target="https://knu.ua/ua/departments/dc/" TargetMode="External"/><Relationship Id="rId67" Type="http://schemas.openxmlformats.org/officeDocument/2006/relationships/hyperlink" Target="http://www.univ.kiev.ua/pdfs/equal-opportunities/Poryadok-suprovodu-osib-z-invalidnistyu.pdf" TargetMode="External"/><Relationship Id="rId20" Type="http://schemas.openxmlformats.org/officeDocument/2006/relationships/hyperlink" Target="https://knu.ua/pdfs/official/Polozhennia-pro-organizatsiyu-osvitniogo-procesu-11_04_2022.pdf" TargetMode="External"/><Relationship Id="rId41" Type="http://schemas.openxmlformats.org/officeDocument/2006/relationships/hyperlink" Target="http://international.knu.ua/" TargetMode="External"/><Relationship Id="rId54" Type="http://schemas.openxmlformats.org/officeDocument/2006/relationships/hyperlink" Target="http://univ.kiev.ua/ua/departments/psychiatry" TargetMode="External"/><Relationship Id="rId62" Type="http://schemas.openxmlformats.org/officeDocument/2006/relationships/hyperlink" Target="http://nmc.univ.kiev.ua/docs/Poloz_org_osv_proc-2018.pdf" TargetMode="External"/><Relationship Id="rId70" Type="http://schemas.openxmlformats.org/officeDocument/2006/relationships/hyperlink" Target="https://www.knu.ua/pdfs/official/Procedure-for-resolving-conflict-situations-in-University.pdf" TargetMode="External"/><Relationship Id="rId75" Type="http://schemas.openxmlformats.org/officeDocument/2006/relationships/hyperlink" Target="https://cutt.ly/jYVxgFT" TargetMode="External"/><Relationship Id="rId83" Type="http://schemas.openxmlformats.org/officeDocument/2006/relationships/hyperlink" Target="http://univ.kiev.ua/pdfs/statut/statut-22-02-17.pdf" TargetMode="External"/><Relationship Id="rId88" Type="http://schemas.openxmlformats.org/officeDocument/2006/relationships/hyperlink" Target="https://knu.ua/pdfs/official/Quality-assurance-system-of-education-and-educational-process.pdf" TargetMode="External"/><Relationship Id="rId91" Type="http://schemas.openxmlformats.org/officeDocument/2006/relationships/hyperlink" Target="https://www.knu.ua/pdfs/official/Procedure-for-resolving-conflict-situations-in-University.pdf"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mc.univ.kiev.ua/docs/Poryadok%20zal_ekz%20sesii%20dyst_techn.pdf" TargetMode="External"/><Relationship Id="rId23" Type="http://schemas.openxmlformats.org/officeDocument/2006/relationships/hyperlink" Target="http://senate.univ.kiev.ua/?p=1352" TargetMode="External"/><Relationship Id="rId28" Type="http://schemas.openxmlformats.org/officeDocument/2006/relationships/hyperlink" Target="https://knu.ua/pdfs/official/Detection-and-prevention-of-academic-plagiarism-in-University.pdf" TargetMode="External"/><Relationship Id="rId36" Type="http://schemas.openxmlformats.org/officeDocument/2006/relationships/hyperlink" Target="http://senate.univ.kiev.ua/?cat=9" TargetMode="External"/><Relationship Id="rId49" Type="http://schemas.openxmlformats.org/officeDocument/2006/relationships/hyperlink" Target="https://knu.ua/pdfs/official/Development-strategic-plan.pdf" TargetMode="External"/><Relationship Id="rId57" Type="http://schemas.openxmlformats.org/officeDocument/2006/relationships/hyperlink" Target="http://sport.univ.kiev.ua/" TargetMode="External"/><Relationship Id="rId10" Type="http://schemas.openxmlformats.org/officeDocument/2006/relationships/hyperlink" Target="https://bit.ly/3w03p7v" TargetMode="External"/><Relationship Id="rId31" Type="http://schemas.openxmlformats.org/officeDocument/2006/relationships/hyperlink" Target="http://sp.knu.ua" TargetMode="External"/><Relationship Id="rId44" Type="http://schemas.openxmlformats.org/officeDocument/2006/relationships/hyperlink" Target="http://www.ipe.knu.ua/" TargetMode="External"/><Relationship Id="rId52" Type="http://schemas.openxmlformats.org/officeDocument/2006/relationships/hyperlink" Target="https://psyservice.knu.ua/" TargetMode="External"/><Relationship Id="rId60" Type="http://schemas.openxmlformats.org/officeDocument/2006/relationships/hyperlink" Target="http://ntsa.univ.kiev.ua/" TargetMode="External"/><Relationship Id="rId65" Type="http://schemas.openxmlformats.org/officeDocument/2006/relationships/hyperlink" Target="http://www.univ.kiev.ua/pdfs/equal-opportunities/Pamyatka-pro-pravyla-komunikaciyi-iz-lyudmy-z-invalidnistyu.pdf" TargetMode="External"/><Relationship Id="rId73" Type="http://schemas.openxmlformats.org/officeDocument/2006/relationships/hyperlink" Target="http://nmc.univ.kiev.ua/docs/Nakaz_Form_Doc-729-32_11-08-2017.pdf" TargetMode="External"/><Relationship Id="rId78" Type="http://schemas.openxmlformats.org/officeDocument/2006/relationships/hyperlink" Target="http://senate.univ.kiev.ua/?p=1650" TargetMode="External"/><Relationship Id="rId81" Type="http://schemas.openxmlformats.org/officeDocument/2006/relationships/hyperlink" Target="https://knu.ua/pdfs/official/Quality-assurance-system-of-education-and-educational-process.pdf" TargetMode="External"/><Relationship Id="rId86" Type="http://schemas.openxmlformats.org/officeDocument/2006/relationships/hyperlink" Target="https://knu.ua/pdfs/official/Polozhennia-pro-organizatsiyu-osvitniogo-procesu-11_04_2022.pdf" TargetMode="External"/><Relationship Id="rId94" Type="http://schemas.openxmlformats.org/officeDocument/2006/relationships/hyperlink" Target="https://studmisto.knu.ua/management/documents/regulation-documents/257-pravyla-vnutrishnoho-rozporiadku"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s://www.knu.ua/pdfs/official/Polozhennia-pro-organizatsiyu-osvitniogo-procesu-11_04_2022.pdf" TargetMode="External"/><Relationship Id="rId18" Type="http://schemas.openxmlformats.org/officeDocument/2006/relationships/hyperlink" Target="https://www.knu.ua/pdfs/official/Procedure-for-resolving-conflict-situations-in-University.pdf" TargetMode="External"/><Relationship Id="rId39" Type="http://schemas.openxmlformats.org/officeDocument/2006/relationships/hyperlink" Target="http://www.ipe.knu.ua/" TargetMode="External"/><Relationship Id="rId34" Type="http://schemas.openxmlformats.org/officeDocument/2006/relationships/hyperlink" Target="http://senate.univ.kiev.ua/?p=1863" TargetMode="External"/><Relationship Id="rId50" Type="http://schemas.openxmlformats.org/officeDocument/2006/relationships/hyperlink" Target="http://surl.li/apuyx" TargetMode="External"/><Relationship Id="rId55" Type="http://schemas.openxmlformats.org/officeDocument/2006/relationships/hyperlink" Target="https://knu.ua/ua/dep/academic-mobile" TargetMode="External"/><Relationship Id="rId76" Type="http://schemas.openxmlformats.org/officeDocument/2006/relationships/hyperlink" Target="http://sp.knu.ua/wp-content/uploads/2021/06/%D1%80%D0%BE%D0%B7%D0%BF%D0%BE%D1%80%D1%8F%D0%B4%D0%B6%D0%B5%D0%BD%D0%BD%D1%8F-114.pdf"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knu.ua/pdfs/official/preventing-corruption/antykoruptsiyna_prohrama.pdf" TargetMode="External"/><Relationship Id="rId92" Type="http://schemas.openxmlformats.org/officeDocument/2006/relationships/hyperlink" Target="http://nmc.univ.kiev.ua/docs/Poloz_org_osv_proc-2018.pdf" TargetMode="External"/><Relationship Id="rId2" Type="http://schemas.openxmlformats.org/officeDocument/2006/relationships/numbering" Target="numbering.xml"/><Relationship Id="rId29" Type="http://schemas.openxmlformats.org/officeDocument/2006/relationships/hyperlink" Target="https://knu.ua/pdfs/official/Polozhennia-pro-organizatsiyu-osvitniogo-procesu-11_04_2022.pdf" TargetMode="External"/><Relationship Id="rId24" Type="http://schemas.openxmlformats.org/officeDocument/2006/relationships/hyperlink" Target="http://senate.univ.kiev.ua/?p=937" TargetMode="External"/><Relationship Id="rId40" Type="http://schemas.openxmlformats.org/officeDocument/2006/relationships/hyperlink" Target="http://mobility.univ.kiev.ua/?page_id=2&amp;lang=uk" TargetMode="External"/><Relationship Id="rId45" Type="http://schemas.openxmlformats.org/officeDocument/2006/relationships/hyperlink" Target="http://science.univ.kiev.ua/news/official/3247/" TargetMode="External"/><Relationship Id="rId66" Type="http://schemas.openxmlformats.org/officeDocument/2006/relationships/hyperlink" Target="https://www.knu.ua/pdfs/equal-opportunities/Pamyatka-pro-pravyla-komunikaciyi-iz-lyudmy-z-invalidnistyu.pdf" TargetMode="External"/><Relationship Id="rId87" Type="http://schemas.openxmlformats.org/officeDocument/2006/relationships/hyperlink" Target="http://nmc.univ.kiev.ua/docs/Polojennya%20QAS%202019.pdf" TargetMode="External"/><Relationship Id="rId61" Type="http://schemas.openxmlformats.org/officeDocument/2006/relationships/hyperlink" Target="https://sociology.knu.ua/uk/department/navchalna-laboratoriya-sociologichnyh-ta-osvitnih-doslidzhen" TargetMode="External"/><Relationship Id="rId82" Type="http://schemas.openxmlformats.org/officeDocument/2006/relationships/hyperlink" Target="https://www.facebook.com/department.quality" TargetMode="External"/><Relationship Id="rId19" Type="http://schemas.openxmlformats.org/officeDocument/2006/relationships/hyperlink" Target="https://www.knu.ua/pdfs/official/Polozhennia-pro-organizatsiyu-osvitniogo-procesu-11_04_2022.pdf" TargetMode="External"/><Relationship Id="rId14" Type="http://schemas.openxmlformats.org/officeDocument/2006/relationships/hyperlink" Target="http://nmc.univ.kiev.ua/docs/Polojennya%20pro%20DEK.doc" TargetMode="External"/><Relationship Id="rId30" Type="http://schemas.openxmlformats.org/officeDocument/2006/relationships/hyperlink" Target="http://senate.univ.kiev.ua/?p=2104" TargetMode="External"/><Relationship Id="rId35" Type="http://schemas.openxmlformats.org/officeDocument/2006/relationships/hyperlink" Target="https://science.knu.ua/upload/iblock/35d/35d232242b24a0d67b42a49bea2b2ea7.pdf" TargetMode="External"/><Relationship Id="rId56" Type="http://schemas.openxmlformats.org/officeDocument/2006/relationships/hyperlink" Target="http://jobs.knu.ua" TargetMode="External"/><Relationship Id="rId77" Type="http://schemas.openxmlformats.org/officeDocument/2006/relationships/hyperlink" Target="http://senate.univ.kiev.ua/?p=1466" TargetMode="External"/><Relationship Id="rId8" Type="http://schemas.openxmlformats.org/officeDocument/2006/relationships/hyperlink" Target="https://vstup.knu.ua/" TargetMode="External"/><Relationship Id="rId51" Type="http://schemas.openxmlformats.org/officeDocument/2006/relationships/hyperlink" Target="https://studmisto.knu.ua/documents/regulation-documents/257-pravyla-vnutrishnoho-rozporiadku" TargetMode="External"/><Relationship Id="rId72" Type="http://schemas.openxmlformats.org/officeDocument/2006/relationships/hyperlink" Target="https://www.knu.ua/pdfs/official/Polozhennia-pro-organizatsiyu-osvitniogo-procesu-11_04_2022.pdf" TargetMode="External"/><Relationship Id="rId93" Type="http://schemas.openxmlformats.org/officeDocument/2006/relationships/hyperlink" Target="http://senate.univ.kiev.ua/?p=1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38</Pages>
  <Words>13014</Words>
  <Characters>74185</Characters>
  <Application>Microsoft Office Word</Application>
  <DocSecurity>0</DocSecurity>
  <Lines>618</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117</cp:revision>
  <dcterms:created xsi:type="dcterms:W3CDTF">2022-11-01T09:58:00Z</dcterms:created>
  <dcterms:modified xsi:type="dcterms:W3CDTF">2023-01-13T07:18:00Z</dcterms:modified>
</cp:coreProperties>
</file>