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та Невдача В.В. (Інститут металофізики</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lastRenderedPageBreak/>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Опишіть, яким чином ЗВО забезпечує безпечність освітнього середовища для </w:t>
            </w:r>
            <w:r>
              <w:rPr>
                <w:rFonts w:eastAsia="Times New Roman" w:cs="Times New Roman"/>
                <w:b/>
                <w:color w:val="000000"/>
                <w:szCs w:val="26"/>
              </w:rPr>
              <w:lastRenderedPageBreak/>
              <w:t>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7262C6C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w:t>
            </w:r>
            <w:r w:rsidR="00985C41">
              <w:rPr>
                <w:rFonts w:eastAsia="Times New Roman" w:cs="Times New Roman"/>
                <w:iCs/>
                <w:color w:val="000000"/>
                <w:szCs w:val="26"/>
              </w:rPr>
              <w:lastRenderedPageBreak/>
              <w:t>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w:t>
            </w:r>
            <w:r>
              <w:rPr>
                <w:rFonts w:eastAsia="Times New Roman" w:cs="Times New Roman"/>
                <w:iCs/>
                <w:color w:val="000000"/>
                <w:szCs w:val="26"/>
              </w:rPr>
              <w:lastRenderedPageBreak/>
              <w:t xml:space="preserve">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E117124"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E2E470D" w14:textId="3D457C49" w:rsidR="00BB7AA5" w:rsidRDefault="000914E3">
            <w:pPr>
              <w:widowControl w:val="0"/>
              <w:pBdr>
                <w:top w:val="nil"/>
                <w:left w:val="nil"/>
                <w:bottom w:val="nil"/>
                <w:right w:val="nil"/>
                <w:between w:val="nil"/>
              </w:pBdr>
              <w:spacing w:after="120" w:line="240" w:lineRule="auto"/>
              <w:ind w:left="0" w:hanging="3"/>
              <w:rPr>
                <w:rFonts w:ascii="TimesNewRomanPSMT" w:hAnsi="TimesNewRomanPSMT"/>
                <w:color w:val="000000"/>
                <w:sz w:val="28"/>
                <w:szCs w:val="28"/>
              </w:rPr>
            </w:pPr>
            <w:r w:rsidRPr="000914E3">
              <w:rPr>
                <w:rFonts w:ascii="TimesNewRomanPS-BoldMT" w:hAnsi="TimesNewRomanPS-BoldMT"/>
                <w:b/>
                <w:bCs/>
                <w:color w:val="000000"/>
                <w:sz w:val="28"/>
                <w:szCs w:val="28"/>
              </w:rPr>
              <w:t xml:space="preserve">1.2.1. </w:t>
            </w:r>
            <w:r w:rsidRPr="000914E3">
              <w:rPr>
                <w:rFonts w:ascii="TimesNewRomanPSMT" w:hAnsi="TimesNewRomanPSMT"/>
                <w:color w:val="000000"/>
                <w:sz w:val="28"/>
                <w:szCs w:val="28"/>
              </w:rPr>
              <w:t>Органи студентського самоврядування мають право:</w:t>
            </w:r>
          </w:p>
          <w:p w14:paraId="2DBDD948" w14:textId="4719754E" w:rsidR="000914E3" w:rsidRDefault="000914E3">
            <w:pPr>
              <w:widowControl w:val="0"/>
              <w:pBdr>
                <w:top w:val="nil"/>
                <w:left w:val="nil"/>
                <w:bottom w:val="nil"/>
                <w:right w:val="nil"/>
                <w:between w:val="nil"/>
              </w:pBdr>
              <w:spacing w:after="120" w:line="240" w:lineRule="auto"/>
              <w:ind w:left="0" w:hanging="3"/>
              <w:rPr>
                <w:rFonts w:ascii="TimesNewRomanPSMT" w:hAnsi="TimesNewRomanPSMT"/>
                <w:color w:val="000000"/>
                <w:sz w:val="28"/>
                <w:szCs w:val="28"/>
              </w:rPr>
            </w:pPr>
            <w:r w:rsidRPr="000914E3">
              <w:rPr>
                <w:rFonts w:ascii="TimesNewRomanPSMT" w:hAnsi="TimesNewRomanPSMT"/>
                <w:color w:val="000000"/>
                <w:sz w:val="28"/>
                <w:szCs w:val="28"/>
              </w:rPr>
              <w:t>брати участь в обговоренні та вирішенні питань удосконалення</w:t>
            </w:r>
            <w:r w:rsidRPr="000914E3">
              <w:rPr>
                <w:rFonts w:ascii="TimesNewRomanPSMT" w:hAnsi="TimesNewRomanPSMT"/>
                <w:color w:val="000000"/>
                <w:sz w:val="28"/>
                <w:szCs w:val="28"/>
              </w:rPr>
              <w:br/>
              <w:t>освітнього процесу,</w:t>
            </w:r>
          </w:p>
          <w:p w14:paraId="36B617EA" w14:textId="1CBEFE47" w:rsidR="000914E3" w:rsidRDefault="000914E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0914E3">
              <w:rPr>
                <w:rFonts w:ascii="TimesNewRomanPSMT" w:hAnsi="TimesNewRomanPSMT"/>
                <w:color w:val="000000"/>
                <w:sz w:val="28"/>
                <w:szCs w:val="28"/>
              </w:rPr>
              <w:t>брати участь у заходах (процесах) щодо забезпечення якості вищої освіти</w:t>
            </w:r>
          </w:p>
          <w:p w14:paraId="20B52792" w14:textId="0178C26E" w:rsidR="00BB7AA5" w:rsidRDefault="000914E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0914E3">
              <w:rPr>
                <w:rFonts w:ascii="TimesNewRomanPS-BoldMT" w:hAnsi="TimesNewRomanPS-BoldMT"/>
                <w:b/>
                <w:bCs/>
                <w:color w:val="000000"/>
                <w:sz w:val="28"/>
                <w:szCs w:val="28"/>
              </w:rPr>
              <w:t xml:space="preserve">2.2.6. </w:t>
            </w:r>
            <w:r w:rsidRPr="000914E3">
              <w:rPr>
                <w:rFonts w:ascii="TimesNewRomanPSMT" w:hAnsi="TimesNewRomanPSMT"/>
                <w:color w:val="000000"/>
                <w:sz w:val="28"/>
                <w:szCs w:val="28"/>
              </w:rPr>
              <w:t>Студентський парламент Університету:</w:t>
            </w:r>
            <w:r w:rsidRPr="000914E3">
              <w:t xml:space="preserve"> </w:t>
            </w:r>
          </w:p>
          <w:p w14:paraId="47D444E8" w14:textId="1E5D265B" w:rsidR="00495100" w:rsidRDefault="000914E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0914E3">
              <w:rPr>
                <w:rFonts w:ascii="TimesNewRomanPSMT" w:hAnsi="TimesNewRomanPSMT"/>
                <w:color w:val="000000"/>
                <w:sz w:val="28"/>
                <w:szCs w:val="28"/>
              </w:rPr>
              <w:t>7) вносить пропозиції для адміністрації Університету щодо організації</w:t>
            </w:r>
            <w:r w:rsidRPr="000914E3">
              <w:rPr>
                <w:rFonts w:ascii="TimesNewRomanPSMT" w:hAnsi="TimesNewRomanPSMT"/>
                <w:color w:val="000000"/>
                <w:sz w:val="28"/>
                <w:szCs w:val="28"/>
              </w:rPr>
              <w:br/>
              <w:t>навчально-виховного процесу, забезпечення соціально-побутових,</w:t>
            </w:r>
            <w:r w:rsidRPr="000914E3">
              <w:rPr>
                <w:rFonts w:ascii="TimesNewRomanPSMT" w:hAnsi="TimesNewRomanPSMT"/>
                <w:color w:val="000000"/>
                <w:sz w:val="28"/>
                <w:szCs w:val="28"/>
              </w:rPr>
              <w:br/>
              <w:t>оздоровчих і культурних потреб студентів;</w:t>
            </w:r>
          </w:p>
          <w:p w14:paraId="7CB37FBF" w14:textId="0D38AB84" w:rsidR="000914E3" w:rsidRDefault="000914E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218946F" w14:textId="140349FB" w:rsidR="000914E3" w:rsidRDefault="000914E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D39EBFD" w14:textId="77777777" w:rsidR="000914E3" w:rsidRPr="00495100" w:rsidRDefault="000914E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44sinio" w:colFirst="0" w:colLast="0"/>
            <w:bookmarkEnd w:id="8"/>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11">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w:t>
            </w:r>
            <w:r>
              <w:rPr>
                <w:rFonts w:eastAsia="Times New Roman" w:cs="Times New Roman"/>
                <w:i/>
                <w:color w:val="000000"/>
                <w:szCs w:val="26"/>
                <w:highlight w:val="cyan"/>
              </w:rPr>
              <w:lastRenderedPageBreak/>
              <w:t xml:space="preserve">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12">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595DA458"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876B6C1" w14:textId="7D4E14C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7810511"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13">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6F59D3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1C7C35" w14:textId="33D5DDF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EB1F97E"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0C40F7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59C19E" w14:textId="1565A34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369B72"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w:t>
            </w:r>
            <w:r>
              <w:rPr>
                <w:rFonts w:eastAsia="Times New Roman" w:cs="Times New Roman"/>
                <w:i/>
                <w:color w:val="000000"/>
                <w:szCs w:val="26"/>
                <w:highlight w:val="cyan"/>
              </w:rPr>
              <w:lastRenderedPageBreak/>
              <w:t xml:space="preserve">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7A862E5E" w14:textId="08ADBB3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0BF32823" w14:textId="0A57785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58AF9EB4" w14:textId="64685314"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148117E" w14:textId="77777777" w:rsidR="00495100" w:rsidRP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4">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5">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6">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1A6587B6" w14:textId="4414032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4ECA6F59" w14:textId="471E844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8C61EB7" w14:textId="63953AC7"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6EFCDE80" w14:textId="77777777" w:rsidR="00495100" w:rsidRP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547A99A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665983" w14:textId="3784E45C"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17">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18">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CD6FD93" w14:textId="5ECAE1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82FF6A5" w14:textId="5315D9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4EA0D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19">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20">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2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2">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3">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4">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lnxbz9" w:colFirst="0" w:colLast="0"/>
            <w:bookmarkEnd w:id="9"/>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25">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oqu5o35z79g" w:colFirst="0" w:colLast="0"/>
            <w:bookmarkEnd w:id="10"/>
            <w:r>
              <w:rPr>
                <w:rFonts w:eastAsia="Times New Roman" w:cs="Times New Roman"/>
                <w:i/>
                <w:color w:val="000000"/>
                <w:szCs w:val="26"/>
                <w:highlight w:val="cyan"/>
              </w:rPr>
              <w:t xml:space="preserve">Порядок вирішення конфліктних ситуацій у </w:t>
            </w:r>
            <w:hyperlink r:id="rId2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7">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hm9hjsmvehq5" w:colFirst="0" w:colLast="0"/>
            <w:bookmarkEnd w:id="11"/>
            <w:r>
              <w:rPr>
                <w:rFonts w:eastAsia="Times New Roman" w:cs="Times New Roman"/>
                <w:i/>
                <w:color w:val="000000"/>
                <w:szCs w:val="26"/>
                <w:highlight w:val="cyan"/>
              </w:rPr>
              <w:t xml:space="preserve">Положення про гаранта освітньої програми в </w:t>
            </w:r>
            <w:hyperlink r:id="rId2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9">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30">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56D81D8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BF1C632" w14:textId="454D3332"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2481B2F9"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1EBBC649" w14:textId="24B2B17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764EFEFD" w14:textId="77777777" w:rsid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761F4FBA" w:rsidR="00495100" w:rsidRDefault="00495100">
            <w:pPr>
              <w:widowControl w:val="0"/>
              <w:spacing w:line="240" w:lineRule="auto"/>
              <w:ind w:leftChars="0" w:left="3" w:hanging="3"/>
              <w:rPr>
                <w:rFonts w:eastAsia="Times New Roman" w:cs="Times New Roman"/>
                <w:b/>
                <w:color w:val="000000"/>
                <w:szCs w:val="26"/>
              </w:rPr>
            </w:pPr>
          </w:p>
          <w:p w14:paraId="2A4290AD" w14:textId="56B50B4C" w:rsidR="00495100" w:rsidRDefault="00495100">
            <w:pPr>
              <w:widowControl w:val="0"/>
              <w:spacing w:line="240" w:lineRule="auto"/>
              <w:ind w:leftChars="0" w:left="3" w:hanging="3"/>
              <w:rPr>
                <w:rFonts w:eastAsia="Times New Roman" w:cs="Times New Roman"/>
                <w:color w:val="000000"/>
                <w:szCs w:val="26"/>
              </w:rPr>
            </w:pPr>
          </w:p>
          <w:p w14:paraId="7A7F4343" w14:textId="77777777" w:rsidR="00495100" w:rsidRPr="00495100" w:rsidRDefault="00495100">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31"/>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9DF7" w14:textId="77777777" w:rsidR="00CE3AE5" w:rsidRDefault="00CE3AE5">
      <w:pPr>
        <w:spacing w:line="240" w:lineRule="auto"/>
        <w:ind w:left="0" w:hanging="3"/>
      </w:pPr>
      <w:r>
        <w:separator/>
      </w:r>
    </w:p>
  </w:endnote>
  <w:endnote w:type="continuationSeparator" w:id="0">
    <w:p w14:paraId="52B3D2B4" w14:textId="77777777" w:rsidR="00CE3AE5" w:rsidRDefault="00CE3AE5">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A4C6" w14:textId="77777777" w:rsidR="00CE3AE5" w:rsidRDefault="00CE3AE5">
      <w:pPr>
        <w:spacing w:line="240" w:lineRule="auto"/>
        <w:ind w:left="0" w:hanging="3"/>
      </w:pPr>
      <w:r>
        <w:separator/>
      </w:r>
    </w:p>
  </w:footnote>
  <w:footnote w:type="continuationSeparator" w:id="0">
    <w:p w14:paraId="6F78193E" w14:textId="77777777" w:rsidR="00CE3AE5" w:rsidRDefault="00CE3AE5">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17695"/>
    <w:rsid w:val="000248CF"/>
    <w:rsid w:val="000353DE"/>
    <w:rsid w:val="00042429"/>
    <w:rsid w:val="0004701C"/>
    <w:rsid w:val="00047B16"/>
    <w:rsid w:val="00051DE9"/>
    <w:rsid w:val="0005683E"/>
    <w:rsid w:val="00072639"/>
    <w:rsid w:val="00074560"/>
    <w:rsid w:val="000752AD"/>
    <w:rsid w:val="00080AC2"/>
    <w:rsid w:val="00081617"/>
    <w:rsid w:val="000914E3"/>
    <w:rsid w:val="00095EDF"/>
    <w:rsid w:val="000A2B09"/>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15D48"/>
    <w:rsid w:val="00224DC9"/>
    <w:rsid w:val="00230F99"/>
    <w:rsid w:val="002374F8"/>
    <w:rsid w:val="0023762C"/>
    <w:rsid w:val="002422EF"/>
    <w:rsid w:val="00243D69"/>
    <w:rsid w:val="002471D5"/>
    <w:rsid w:val="00247F99"/>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E791D"/>
    <w:rsid w:val="002F6391"/>
    <w:rsid w:val="002F68DA"/>
    <w:rsid w:val="00302593"/>
    <w:rsid w:val="00306850"/>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A0A46"/>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1A06"/>
    <w:rsid w:val="00446F5E"/>
    <w:rsid w:val="00450056"/>
    <w:rsid w:val="00460EA4"/>
    <w:rsid w:val="00460EBA"/>
    <w:rsid w:val="00465904"/>
    <w:rsid w:val="00472C80"/>
    <w:rsid w:val="00472CF0"/>
    <w:rsid w:val="004737E6"/>
    <w:rsid w:val="00475B90"/>
    <w:rsid w:val="00482149"/>
    <w:rsid w:val="004850BE"/>
    <w:rsid w:val="00491234"/>
    <w:rsid w:val="00495100"/>
    <w:rsid w:val="00495BF7"/>
    <w:rsid w:val="004A185E"/>
    <w:rsid w:val="004B6932"/>
    <w:rsid w:val="004B7221"/>
    <w:rsid w:val="004B740D"/>
    <w:rsid w:val="004C0B65"/>
    <w:rsid w:val="004F2CBF"/>
    <w:rsid w:val="004F35BF"/>
    <w:rsid w:val="004F73F1"/>
    <w:rsid w:val="005056E9"/>
    <w:rsid w:val="005074EE"/>
    <w:rsid w:val="00510C2A"/>
    <w:rsid w:val="0051627F"/>
    <w:rsid w:val="005208D1"/>
    <w:rsid w:val="0052568D"/>
    <w:rsid w:val="00530B7B"/>
    <w:rsid w:val="00533C5E"/>
    <w:rsid w:val="00540055"/>
    <w:rsid w:val="00543961"/>
    <w:rsid w:val="005556E9"/>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6902"/>
    <w:rsid w:val="00673682"/>
    <w:rsid w:val="00695630"/>
    <w:rsid w:val="006956B1"/>
    <w:rsid w:val="006A02B0"/>
    <w:rsid w:val="006A459B"/>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1004"/>
    <w:rsid w:val="00871F50"/>
    <w:rsid w:val="00872B72"/>
    <w:rsid w:val="00876F71"/>
    <w:rsid w:val="00877154"/>
    <w:rsid w:val="00877CA6"/>
    <w:rsid w:val="008B0D60"/>
    <w:rsid w:val="008B11E6"/>
    <w:rsid w:val="008B7245"/>
    <w:rsid w:val="008C62EC"/>
    <w:rsid w:val="008D017D"/>
    <w:rsid w:val="008D1624"/>
    <w:rsid w:val="008D3BD4"/>
    <w:rsid w:val="008E2D50"/>
    <w:rsid w:val="008E4044"/>
    <w:rsid w:val="008E7FCD"/>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85C41"/>
    <w:rsid w:val="00991D5D"/>
    <w:rsid w:val="009A065F"/>
    <w:rsid w:val="009A54AC"/>
    <w:rsid w:val="009B7176"/>
    <w:rsid w:val="009C22E7"/>
    <w:rsid w:val="009C5F1B"/>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62082"/>
    <w:rsid w:val="00A771C7"/>
    <w:rsid w:val="00A872A7"/>
    <w:rsid w:val="00A87A4B"/>
    <w:rsid w:val="00A91248"/>
    <w:rsid w:val="00AA0784"/>
    <w:rsid w:val="00AA506B"/>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B7AA5"/>
    <w:rsid w:val="00BC0B20"/>
    <w:rsid w:val="00BD0B18"/>
    <w:rsid w:val="00BF13BF"/>
    <w:rsid w:val="00C0268A"/>
    <w:rsid w:val="00C0452B"/>
    <w:rsid w:val="00C04D2A"/>
    <w:rsid w:val="00C12992"/>
    <w:rsid w:val="00C1764A"/>
    <w:rsid w:val="00C17896"/>
    <w:rsid w:val="00C21358"/>
    <w:rsid w:val="00C217EC"/>
    <w:rsid w:val="00C25081"/>
    <w:rsid w:val="00C450B5"/>
    <w:rsid w:val="00C4593C"/>
    <w:rsid w:val="00C50AE7"/>
    <w:rsid w:val="00C63A2F"/>
    <w:rsid w:val="00C75019"/>
    <w:rsid w:val="00C8100F"/>
    <w:rsid w:val="00C84DE6"/>
    <w:rsid w:val="00C87586"/>
    <w:rsid w:val="00C95C88"/>
    <w:rsid w:val="00CA3DB0"/>
    <w:rsid w:val="00CA43BB"/>
    <w:rsid w:val="00CA6497"/>
    <w:rsid w:val="00CB2A17"/>
    <w:rsid w:val="00CC4FB5"/>
    <w:rsid w:val="00CC601B"/>
    <w:rsid w:val="00CC682F"/>
    <w:rsid w:val="00CC75BD"/>
    <w:rsid w:val="00CD2E15"/>
    <w:rsid w:val="00CD4BAE"/>
    <w:rsid w:val="00CD72E4"/>
    <w:rsid w:val="00CE3A02"/>
    <w:rsid w:val="00CE3AE5"/>
    <w:rsid w:val="00CE5D03"/>
    <w:rsid w:val="00CE7D80"/>
    <w:rsid w:val="00CF3D5D"/>
    <w:rsid w:val="00CF4450"/>
    <w:rsid w:val="00D0516F"/>
    <w:rsid w:val="00D06C1D"/>
    <w:rsid w:val="00D12F14"/>
    <w:rsid w:val="00D136A3"/>
    <w:rsid w:val="00D13D99"/>
    <w:rsid w:val="00D323B6"/>
    <w:rsid w:val="00D3509E"/>
    <w:rsid w:val="00D35562"/>
    <w:rsid w:val="00D4047C"/>
    <w:rsid w:val="00D4066F"/>
    <w:rsid w:val="00D408E6"/>
    <w:rsid w:val="00D43C2E"/>
    <w:rsid w:val="00D54E11"/>
    <w:rsid w:val="00D657D5"/>
    <w:rsid w:val="00D715CA"/>
    <w:rsid w:val="00D75306"/>
    <w:rsid w:val="00D95526"/>
    <w:rsid w:val="00D9685E"/>
    <w:rsid w:val="00D97C16"/>
    <w:rsid w:val="00DB18BB"/>
    <w:rsid w:val="00DB2246"/>
    <w:rsid w:val="00DB78E2"/>
    <w:rsid w:val="00DD0BE7"/>
    <w:rsid w:val="00DD66B4"/>
    <w:rsid w:val="00E028B8"/>
    <w:rsid w:val="00E07C7E"/>
    <w:rsid w:val="00E10B98"/>
    <w:rsid w:val="00E114A8"/>
    <w:rsid w:val="00E15A62"/>
    <w:rsid w:val="00E304B6"/>
    <w:rsid w:val="00E33DCC"/>
    <w:rsid w:val="00E437DB"/>
    <w:rsid w:val="00E43B6E"/>
    <w:rsid w:val="00E522C4"/>
    <w:rsid w:val="00E576C5"/>
    <w:rsid w:val="00E630A6"/>
    <w:rsid w:val="00E66452"/>
    <w:rsid w:val="00E67FBB"/>
    <w:rsid w:val="00E74868"/>
    <w:rsid w:val="00E870FF"/>
    <w:rsid w:val="00E93C7B"/>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26E13"/>
    <w:rsid w:val="00F3402B"/>
    <w:rsid w:val="00F44CCF"/>
    <w:rsid w:val="00F46BBC"/>
    <w:rsid w:val="00F66721"/>
    <w:rsid w:val="00F819B8"/>
    <w:rsid w:val="00F836F6"/>
    <w:rsid w:val="00F83B3C"/>
    <w:rsid w:val="00F84444"/>
    <w:rsid w:val="00F859E4"/>
    <w:rsid w:val="00F93EDF"/>
    <w:rsid w:val="00F96A04"/>
    <w:rsid w:val="00FA20A8"/>
    <w:rsid w:val="00FB04DB"/>
    <w:rsid w:val="00FC4507"/>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ate.univ.kiev.ua/?p=1466" TargetMode="External"/><Relationship Id="rId18" Type="http://schemas.openxmlformats.org/officeDocument/2006/relationships/hyperlink" Target="https://www.facebook.com/department.quality" TargetMode="External"/><Relationship Id="rId26" Type="http://schemas.openxmlformats.org/officeDocument/2006/relationships/hyperlink" Target="http://nmc.univ.kiev.ua/docs/Poloz_org_osv_proc-2018.pdf" TargetMode="External"/><Relationship Id="rId3" Type="http://schemas.openxmlformats.org/officeDocument/2006/relationships/styles" Target="styles.xml"/><Relationship Id="rId21" Type="http://schemas.openxmlformats.org/officeDocument/2006/relationships/hyperlink" Target="http://nmc.univ.kiev.ua/docs/Poloz_org_osv_proc-2018.pdf" TargetMode="External"/><Relationship Id="rId7" Type="http://schemas.openxmlformats.org/officeDocument/2006/relationships/endnotes" Target="endnotes.xml"/><Relationship Id="rId12" Type="http://schemas.openxmlformats.org/officeDocument/2006/relationships/hyperlink" Target="http://sp.knu.ua/wp-content/uploads/2021/06/%D1%80%D0%BE%D0%B7%D0%BF%D0%BE%D1%80%D1%8F%D0%B4%D0%B6%D0%B5%D0%BD%D0%BD%D1%8F-114.pdf" TargetMode="External"/><Relationship Id="rId17" Type="http://schemas.openxmlformats.org/officeDocument/2006/relationships/hyperlink" Target="https://knu.ua/pdfs/official/Quality-assurance-system-of-education-and-educational-process.pdf" TargetMode="External"/><Relationship Id="rId25" Type="http://schemas.openxmlformats.org/officeDocument/2006/relationships/hyperlink" Target="https://www.knu.ua/pdfs/official/ethical-code/Ethical-code-of-the-university-community.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ate.univ.kiev.ua/?p=2123" TargetMode="External"/><Relationship Id="rId20" Type="http://schemas.openxmlformats.org/officeDocument/2006/relationships/hyperlink" Target="https://knu.ua/pdfs/official/must-published/statut-22-02-17.pdf" TargetMode="External"/><Relationship Id="rId29" Type="http://schemas.openxmlformats.org/officeDocument/2006/relationships/hyperlink" Target="http://senate.univ.kiev.ua/?p=16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tt.ly/jYVxgFT" TargetMode="External"/><Relationship Id="rId24" Type="http://schemas.openxmlformats.org/officeDocument/2006/relationships/hyperlink" Target="https://knu.ua/pdfs/official/Quality-assurance-system-of-education-and-educational-proces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ate.univ.kiev.ua/?p=1894" TargetMode="External"/><Relationship Id="rId23" Type="http://schemas.openxmlformats.org/officeDocument/2006/relationships/hyperlink" Target="http://nmc.univ.kiev.ua/docs/Polojennya%20QAS%202019.pdf" TargetMode="External"/><Relationship Id="rId28" Type="http://schemas.openxmlformats.org/officeDocument/2006/relationships/hyperlink" Target="http://nmc.univ.kiev.ua/docs/Poloz_org_osv_proc-2018.pdf" TargetMode="Externa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univ.kiev.ua/pdfs/statut/statut-22-02-17.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enate.univ.kiev.ua/?p=1650" TargetMode="External"/><Relationship Id="rId22" Type="http://schemas.openxmlformats.org/officeDocument/2006/relationships/hyperlink" Target="https://knu.ua/pdfs/official/Polozhennia-pro-organizatsiyu-osvitniogo-procesu-11_04_2022.pdf" TargetMode="External"/><Relationship Id="rId27" Type="http://schemas.openxmlformats.org/officeDocument/2006/relationships/hyperlink" Target="https://www.knu.ua/pdfs/official/Procedure-for-resolving-conflict-situations-in-University.pdf" TargetMode="External"/><Relationship Id="rId30" Type="http://schemas.openxmlformats.org/officeDocument/2006/relationships/hyperlink" Target="https://studmisto.knu.ua/management/documents/regulation-documents/257-pravyla-vnutrishnoho-rozporiadku" TargetMode="External"/><Relationship Id="rId8" Type="http://schemas.openxmlformats.org/officeDocument/2006/relationships/hyperlink" Target="https://vstup.kn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3806</TotalTime>
  <Pages>48</Pages>
  <Words>15946</Words>
  <Characters>90896</Characters>
  <Application>Microsoft Office Word</Application>
  <DocSecurity>0</DocSecurity>
  <Lines>757</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267</cp:revision>
  <dcterms:created xsi:type="dcterms:W3CDTF">2022-11-01T09:58:00Z</dcterms:created>
  <dcterms:modified xsi:type="dcterms:W3CDTF">2023-01-26T14:31:00Z</dcterms:modified>
</cp:coreProperties>
</file>