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w:t>
            </w:r>
            <w:r w:rsidR="008B7245">
              <w:rPr>
                <w:rFonts w:eastAsia="Times New Roman" w:cs="Times New Roman"/>
                <w:iCs/>
                <w:color w:val="000000"/>
                <w:szCs w:val="26"/>
              </w:rPr>
              <w:lastRenderedPageBreak/>
              <w:t xml:space="preserve">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2841951"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 та Невдача В.В. (Інститут металофізики</w:t>
            </w:r>
            <w:r w:rsidR="009108DD">
              <w:rPr>
                <w:rFonts w:eastAsia="Times New Roman" w:cs="Times New Roman"/>
                <w:iCs/>
                <w:color w:val="000000"/>
                <w:szCs w:val="26"/>
              </w:rPr>
              <w:t xml:space="preserve">), 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lastRenderedPageBreak/>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Опишіть, яким чином ЗВО забезпечує безпечність освітнього середовища для </w:t>
            </w:r>
            <w:r>
              <w:rPr>
                <w:rFonts w:eastAsia="Times New Roman" w:cs="Times New Roman"/>
                <w:b/>
                <w:color w:val="000000"/>
                <w:szCs w:val="26"/>
              </w:rPr>
              <w:lastRenderedPageBreak/>
              <w:t>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7262C6C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w:t>
            </w:r>
            <w:r w:rsidR="00985C41">
              <w:rPr>
                <w:rFonts w:eastAsia="Times New Roman" w:cs="Times New Roman"/>
                <w:iCs/>
                <w:color w:val="000000"/>
                <w:szCs w:val="26"/>
              </w:rPr>
              <w:lastRenderedPageBreak/>
              <w:t>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710A4D77"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Pr="003C6012">
              <w:rPr>
                <w:rFonts w:eastAsia="Times New Roman" w:cs="Times New Roman"/>
                <w:iCs/>
                <w:color w:val="000000"/>
                <w:szCs w:val="26"/>
              </w:rPr>
              <w:t>https://bit.ly/3GEw48a</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lastRenderedPageBreak/>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w:t>
            </w:r>
            <w:r>
              <w:rPr>
                <w:rFonts w:eastAsia="Times New Roman" w:cs="Times New Roman"/>
                <w:iCs/>
                <w:color w:val="000000"/>
                <w:szCs w:val="26"/>
              </w:rPr>
              <w:lastRenderedPageBreak/>
              <w:t xml:space="preserve">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r>
              <w:rPr>
                <w:rFonts w:eastAsia="Times New Roman" w:cs="Times New Roman"/>
                <w:iCs/>
                <w:color w:val="000000"/>
                <w:szCs w:val="26"/>
              </w:rPr>
              <w:t>, зараз контингент здобувачів складається з двох осіб.</w:t>
            </w:r>
          </w:p>
          <w:p w14:paraId="35A54FB7" w14:textId="1B7F5C0E"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6DAE03C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7D444E8"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44sinio" w:colFirst="0" w:colLast="0"/>
            <w:bookmarkEnd w:id="8"/>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11">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12">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595DA458"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876B6C1" w14:textId="7D4E14C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7810511"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13">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6F59D3B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1C7C35" w14:textId="33D5DDF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EB1F97E"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0C40F7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359C19E" w14:textId="1565A34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7369B72"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7A862E5E" w14:textId="08ADBB32"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0BF32823" w14:textId="0A577852"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58AF9EB4" w14:textId="64685314"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148117E" w14:textId="77777777" w:rsidR="00495100" w:rsidRP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4">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5">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6">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1A6587B6" w14:textId="4414032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4ECA6F59" w14:textId="471E844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8C61EB7" w14:textId="63953AC7"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6EFCDE80" w14:textId="77777777" w:rsidR="00495100" w:rsidRP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547A99A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665983" w14:textId="3784E45C"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17">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w:t>
            </w:r>
            <w:r>
              <w:rPr>
                <w:rFonts w:eastAsia="Times New Roman" w:cs="Times New Roman"/>
                <w:i/>
                <w:color w:val="000000"/>
                <w:szCs w:val="26"/>
                <w:highlight w:val="cyan"/>
              </w:rPr>
              <w:lastRenderedPageBreak/>
              <w:t xml:space="preserve">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18">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CD6FD93" w14:textId="5ECAE1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82FF6A5" w14:textId="5315D9B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84EA0D8"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19">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20">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21">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2">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3">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4">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lnxbz9" w:colFirst="0" w:colLast="0"/>
            <w:bookmarkEnd w:id="9"/>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25">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2oqu5o35z79g" w:colFirst="0" w:colLast="0"/>
            <w:bookmarkEnd w:id="10"/>
            <w:r>
              <w:rPr>
                <w:rFonts w:eastAsia="Times New Roman" w:cs="Times New Roman"/>
                <w:i/>
                <w:color w:val="000000"/>
                <w:szCs w:val="26"/>
                <w:highlight w:val="cyan"/>
              </w:rPr>
              <w:lastRenderedPageBreak/>
              <w:t xml:space="preserve">Порядок вирішення конфліктних ситуацій у </w:t>
            </w:r>
            <w:hyperlink r:id="rId26">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7">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1" w:name="_heading=h.hm9hjsmvehq5" w:colFirst="0" w:colLast="0"/>
            <w:bookmarkEnd w:id="11"/>
            <w:r>
              <w:rPr>
                <w:rFonts w:eastAsia="Times New Roman" w:cs="Times New Roman"/>
                <w:i/>
                <w:color w:val="000000"/>
                <w:szCs w:val="26"/>
                <w:highlight w:val="cyan"/>
              </w:rPr>
              <w:t xml:space="preserve">Положення про гаранта освітньої програми в </w:t>
            </w:r>
            <w:hyperlink r:id="rId28">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9">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30">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56D81D88"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3BF1C632" w14:textId="454D3332"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2481B2F9"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1EBBC649" w14:textId="24B2B178"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764EFEFD" w14:textId="77777777" w:rsid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761F4FBA" w:rsidR="00495100" w:rsidRDefault="00495100">
            <w:pPr>
              <w:widowControl w:val="0"/>
              <w:spacing w:line="240" w:lineRule="auto"/>
              <w:ind w:leftChars="0" w:left="3" w:hanging="3"/>
              <w:rPr>
                <w:rFonts w:eastAsia="Times New Roman" w:cs="Times New Roman"/>
                <w:b/>
                <w:color w:val="000000"/>
                <w:szCs w:val="26"/>
              </w:rPr>
            </w:pPr>
          </w:p>
          <w:p w14:paraId="2A4290AD" w14:textId="56B50B4C" w:rsidR="00495100" w:rsidRDefault="00495100">
            <w:pPr>
              <w:widowControl w:val="0"/>
              <w:spacing w:line="240" w:lineRule="auto"/>
              <w:ind w:leftChars="0" w:left="3" w:hanging="3"/>
              <w:rPr>
                <w:rFonts w:eastAsia="Times New Roman" w:cs="Times New Roman"/>
                <w:color w:val="000000"/>
                <w:szCs w:val="26"/>
              </w:rPr>
            </w:pPr>
          </w:p>
          <w:p w14:paraId="7A7F4343" w14:textId="77777777" w:rsidR="00495100" w:rsidRPr="00495100" w:rsidRDefault="00495100">
            <w:pPr>
              <w:widowControl w:val="0"/>
              <w:spacing w:line="240" w:lineRule="auto"/>
              <w:ind w:leftChars="0" w:left="3" w:hanging="3"/>
              <w:rPr>
                <w:rFonts w:eastAsia="Times New Roman" w:cs="Times New Roman"/>
                <w:color w:val="000000"/>
                <w:szCs w:val="26"/>
              </w:rPr>
            </w:pP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lastRenderedPageBreak/>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lastRenderedPageBreak/>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04CFA43F" w:rsidR="00495100" w:rsidRDefault="00495100">
            <w:pPr>
              <w:widowControl w:val="0"/>
              <w:spacing w:line="240" w:lineRule="auto"/>
              <w:ind w:leftChars="0" w:left="3" w:hanging="3"/>
              <w:rPr>
                <w:rFonts w:eastAsia="Times New Roman" w:cs="Times New Roman"/>
                <w:color w:val="000000"/>
                <w:szCs w:val="26"/>
              </w:rPr>
            </w:pPr>
          </w:p>
          <w:p w14:paraId="2CDCC600" w14:textId="2CA4C1EC" w:rsidR="00495100" w:rsidRDefault="00495100">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31"/>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5D7C" w14:textId="77777777" w:rsidR="00DB18BB" w:rsidRDefault="00DB18BB">
      <w:pPr>
        <w:spacing w:line="240" w:lineRule="auto"/>
        <w:ind w:left="0" w:hanging="3"/>
      </w:pPr>
      <w:r>
        <w:separator/>
      </w:r>
    </w:p>
  </w:endnote>
  <w:endnote w:type="continuationSeparator" w:id="0">
    <w:p w14:paraId="2EEF8EB2" w14:textId="77777777" w:rsidR="00DB18BB" w:rsidRDefault="00DB18BB">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B6587" w14:textId="77777777" w:rsidR="00DB18BB" w:rsidRDefault="00DB18BB">
      <w:pPr>
        <w:spacing w:line="240" w:lineRule="auto"/>
        <w:ind w:left="0" w:hanging="3"/>
      </w:pPr>
      <w:r>
        <w:separator/>
      </w:r>
    </w:p>
  </w:footnote>
  <w:footnote w:type="continuationSeparator" w:id="0">
    <w:p w14:paraId="7B399925" w14:textId="77777777" w:rsidR="00DB18BB" w:rsidRDefault="00DB18BB">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17695"/>
    <w:rsid w:val="000248CF"/>
    <w:rsid w:val="000353DE"/>
    <w:rsid w:val="00042429"/>
    <w:rsid w:val="0004701C"/>
    <w:rsid w:val="00047B16"/>
    <w:rsid w:val="00051DE9"/>
    <w:rsid w:val="0005683E"/>
    <w:rsid w:val="00072639"/>
    <w:rsid w:val="00074560"/>
    <w:rsid w:val="000752AD"/>
    <w:rsid w:val="00080AC2"/>
    <w:rsid w:val="00081617"/>
    <w:rsid w:val="00095EDF"/>
    <w:rsid w:val="000A2B09"/>
    <w:rsid w:val="000A578F"/>
    <w:rsid w:val="000B1978"/>
    <w:rsid w:val="000B267A"/>
    <w:rsid w:val="000B5609"/>
    <w:rsid w:val="000C0469"/>
    <w:rsid w:val="000C6FDB"/>
    <w:rsid w:val="000C7F1C"/>
    <w:rsid w:val="000D1505"/>
    <w:rsid w:val="000D52B3"/>
    <w:rsid w:val="000D5497"/>
    <w:rsid w:val="000E1435"/>
    <w:rsid w:val="000E37A5"/>
    <w:rsid w:val="000F3734"/>
    <w:rsid w:val="000F552B"/>
    <w:rsid w:val="000F737B"/>
    <w:rsid w:val="00100605"/>
    <w:rsid w:val="001241DE"/>
    <w:rsid w:val="00126B60"/>
    <w:rsid w:val="00127009"/>
    <w:rsid w:val="001350D1"/>
    <w:rsid w:val="00160EAC"/>
    <w:rsid w:val="0018349F"/>
    <w:rsid w:val="001900FE"/>
    <w:rsid w:val="00192C0B"/>
    <w:rsid w:val="00192DDE"/>
    <w:rsid w:val="00197532"/>
    <w:rsid w:val="001A741B"/>
    <w:rsid w:val="001B56E2"/>
    <w:rsid w:val="001B6DBB"/>
    <w:rsid w:val="001B7DD6"/>
    <w:rsid w:val="001D04A4"/>
    <w:rsid w:val="001E4DDD"/>
    <w:rsid w:val="001E7E47"/>
    <w:rsid w:val="001F0CB7"/>
    <w:rsid w:val="001F5806"/>
    <w:rsid w:val="001F5AF0"/>
    <w:rsid w:val="001F75AD"/>
    <w:rsid w:val="00210331"/>
    <w:rsid w:val="00212939"/>
    <w:rsid w:val="00213740"/>
    <w:rsid w:val="00215D48"/>
    <w:rsid w:val="00224DC9"/>
    <w:rsid w:val="00230F99"/>
    <w:rsid w:val="002374F8"/>
    <w:rsid w:val="0023762C"/>
    <w:rsid w:val="002422EF"/>
    <w:rsid w:val="00243D69"/>
    <w:rsid w:val="002471D5"/>
    <w:rsid w:val="00247F99"/>
    <w:rsid w:val="00255F04"/>
    <w:rsid w:val="00263BB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E791D"/>
    <w:rsid w:val="002F6391"/>
    <w:rsid w:val="002F68DA"/>
    <w:rsid w:val="00302593"/>
    <w:rsid w:val="00306850"/>
    <w:rsid w:val="00313335"/>
    <w:rsid w:val="00314A31"/>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A0A46"/>
    <w:rsid w:val="003B08D4"/>
    <w:rsid w:val="003C4164"/>
    <w:rsid w:val="003C6012"/>
    <w:rsid w:val="003C635D"/>
    <w:rsid w:val="003D0915"/>
    <w:rsid w:val="003D4A47"/>
    <w:rsid w:val="003E3DC3"/>
    <w:rsid w:val="003F0801"/>
    <w:rsid w:val="003F4B17"/>
    <w:rsid w:val="00401749"/>
    <w:rsid w:val="0040253A"/>
    <w:rsid w:val="004069D7"/>
    <w:rsid w:val="00411B17"/>
    <w:rsid w:val="00420A80"/>
    <w:rsid w:val="00421852"/>
    <w:rsid w:val="00430A6C"/>
    <w:rsid w:val="00430BE4"/>
    <w:rsid w:val="00437C2F"/>
    <w:rsid w:val="00441A06"/>
    <w:rsid w:val="00446F5E"/>
    <w:rsid w:val="00450056"/>
    <w:rsid w:val="00460EA4"/>
    <w:rsid w:val="00460EBA"/>
    <w:rsid w:val="00465904"/>
    <w:rsid w:val="00472C80"/>
    <w:rsid w:val="00472CF0"/>
    <w:rsid w:val="004737E6"/>
    <w:rsid w:val="00475B90"/>
    <w:rsid w:val="00482149"/>
    <w:rsid w:val="004850BE"/>
    <w:rsid w:val="00491234"/>
    <w:rsid w:val="00495100"/>
    <w:rsid w:val="00495BF7"/>
    <w:rsid w:val="004A185E"/>
    <w:rsid w:val="004B6932"/>
    <w:rsid w:val="004B7221"/>
    <w:rsid w:val="004B740D"/>
    <w:rsid w:val="004C0B65"/>
    <w:rsid w:val="004F2CBF"/>
    <w:rsid w:val="004F35BF"/>
    <w:rsid w:val="004F73F1"/>
    <w:rsid w:val="005056E9"/>
    <w:rsid w:val="005074EE"/>
    <w:rsid w:val="00510C2A"/>
    <w:rsid w:val="0051627F"/>
    <w:rsid w:val="005208D1"/>
    <w:rsid w:val="0052568D"/>
    <w:rsid w:val="00530B7B"/>
    <w:rsid w:val="00533C5E"/>
    <w:rsid w:val="00540055"/>
    <w:rsid w:val="00543961"/>
    <w:rsid w:val="005556E9"/>
    <w:rsid w:val="00572782"/>
    <w:rsid w:val="00576562"/>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6902"/>
    <w:rsid w:val="00673682"/>
    <w:rsid w:val="00695630"/>
    <w:rsid w:val="006956B1"/>
    <w:rsid w:val="006A02B0"/>
    <w:rsid w:val="006A459B"/>
    <w:rsid w:val="006A47C7"/>
    <w:rsid w:val="006C1BCB"/>
    <w:rsid w:val="006C3871"/>
    <w:rsid w:val="006C61CB"/>
    <w:rsid w:val="006D0FD3"/>
    <w:rsid w:val="006E680A"/>
    <w:rsid w:val="006E7983"/>
    <w:rsid w:val="006F219E"/>
    <w:rsid w:val="006F331C"/>
    <w:rsid w:val="00702786"/>
    <w:rsid w:val="00737EB2"/>
    <w:rsid w:val="00747C8C"/>
    <w:rsid w:val="007531AA"/>
    <w:rsid w:val="007570A6"/>
    <w:rsid w:val="007628B7"/>
    <w:rsid w:val="00776810"/>
    <w:rsid w:val="00786B83"/>
    <w:rsid w:val="00792D6C"/>
    <w:rsid w:val="007A798E"/>
    <w:rsid w:val="007A7DB0"/>
    <w:rsid w:val="007D5EC3"/>
    <w:rsid w:val="007F497C"/>
    <w:rsid w:val="007F7055"/>
    <w:rsid w:val="00813E12"/>
    <w:rsid w:val="008231ED"/>
    <w:rsid w:val="00824FE2"/>
    <w:rsid w:val="00833917"/>
    <w:rsid w:val="00841183"/>
    <w:rsid w:val="00852E6B"/>
    <w:rsid w:val="008636B4"/>
    <w:rsid w:val="00863E8F"/>
    <w:rsid w:val="00871004"/>
    <w:rsid w:val="00871F50"/>
    <w:rsid w:val="00872B72"/>
    <w:rsid w:val="00876F71"/>
    <w:rsid w:val="00877154"/>
    <w:rsid w:val="00877CA6"/>
    <w:rsid w:val="008B0D60"/>
    <w:rsid w:val="008B11E6"/>
    <w:rsid w:val="008B7245"/>
    <w:rsid w:val="008C62EC"/>
    <w:rsid w:val="008D017D"/>
    <w:rsid w:val="008D1624"/>
    <w:rsid w:val="008D3BD4"/>
    <w:rsid w:val="008E2D50"/>
    <w:rsid w:val="008E4044"/>
    <w:rsid w:val="008E7FCD"/>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70A72"/>
    <w:rsid w:val="009776F5"/>
    <w:rsid w:val="00985C41"/>
    <w:rsid w:val="00991D5D"/>
    <w:rsid w:val="009A065F"/>
    <w:rsid w:val="009A54AC"/>
    <w:rsid w:val="009B7176"/>
    <w:rsid w:val="009C22E7"/>
    <w:rsid w:val="009C5F1B"/>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62082"/>
    <w:rsid w:val="00A771C7"/>
    <w:rsid w:val="00A872A7"/>
    <w:rsid w:val="00A87A4B"/>
    <w:rsid w:val="00A91248"/>
    <w:rsid w:val="00AA0784"/>
    <w:rsid w:val="00AA506B"/>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5773C"/>
    <w:rsid w:val="00B57F1D"/>
    <w:rsid w:val="00B63182"/>
    <w:rsid w:val="00B64086"/>
    <w:rsid w:val="00B70FC0"/>
    <w:rsid w:val="00B7666D"/>
    <w:rsid w:val="00B81A51"/>
    <w:rsid w:val="00B8320C"/>
    <w:rsid w:val="00B85C60"/>
    <w:rsid w:val="00B96064"/>
    <w:rsid w:val="00B96987"/>
    <w:rsid w:val="00BA4592"/>
    <w:rsid w:val="00BB06D5"/>
    <w:rsid w:val="00BB163A"/>
    <w:rsid w:val="00BB3A66"/>
    <w:rsid w:val="00BB5FC9"/>
    <w:rsid w:val="00BC0B20"/>
    <w:rsid w:val="00BD0B18"/>
    <w:rsid w:val="00BF13BF"/>
    <w:rsid w:val="00C0268A"/>
    <w:rsid w:val="00C0452B"/>
    <w:rsid w:val="00C04D2A"/>
    <w:rsid w:val="00C12992"/>
    <w:rsid w:val="00C1764A"/>
    <w:rsid w:val="00C17896"/>
    <w:rsid w:val="00C21358"/>
    <w:rsid w:val="00C217EC"/>
    <w:rsid w:val="00C25081"/>
    <w:rsid w:val="00C450B5"/>
    <w:rsid w:val="00C4593C"/>
    <w:rsid w:val="00C50AE7"/>
    <w:rsid w:val="00C63A2F"/>
    <w:rsid w:val="00C75019"/>
    <w:rsid w:val="00C8100F"/>
    <w:rsid w:val="00C84DE6"/>
    <w:rsid w:val="00C87586"/>
    <w:rsid w:val="00C95C88"/>
    <w:rsid w:val="00CA3DB0"/>
    <w:rsid w:val="00CA43BB"/>
    <w:rsid w:val="00CA6497"/>
    <w:rsid w:val="00CB2A17"/>
    <w:rsid w:val="00CC4FB5"/>
    <w:rsid w:val="00CC601B"/>
    <w:rsid w:val="00CC682F"/>
    <w:rsid w:val="00CC75BD"/>
    <w:rsid w:val="00CD2E15"/>
    <w:rsid w:val="00CD4BAE"/>
    <w:rsid w:val="00CD72E4"/>
    <w:rsid w:val="00CE3A02"/>
    <w:rsid w:val="00CE5D03"/>
    <w:rsid w:val="00CE7D80"/>
    <w:rsid w:val="00CF3D5D"/>
    <w:rsid w:val="00CF4450"/>
    <w:rsid w:val="00D0516F"/>
    <w:rsid w:val="00D06C1D"/>
    <w:rsid w:val="00D12F14"/>
    <w:rsid w:val="00D136A3"/>
    <w:rsid w:val="00D13D99"/>
    <w:rsid w:val="00D323B6"/>
    <w:rsid w:val="00D3509E"/>
    <w:rsid w:val="00D35562"/>
    <w:rsid w:val="00D4047C"/>
    <w:rsid w:val="00D4066F"/>
    <w:rsid w:val="00D408E6"/>
    <w:rsid w:val="00D43C2E"/>
    <w:rsid w:val="00D54E11"/>
    <w:rsid w:val="00D657D5"/>
    <w:rsid w:val="00D715CA"/>
    <w:rsid w:val="00D75306"/>
    <w:rsid w:val="00D95526"/>
    <w:rsid w:val="00D9685E"/>
    <w:rsid w:val="00D97C16"/>
    <w:rsid w:val="00DB18BB"/>
    <w:rsid w:val="00DB2246"/>
    <w:rsid w:val="00DB78E2"/>
    <w:rsid w:val="00DD0BE7"/>
    <w:rsid w:val="00DD66B4"/>
    <w:rsid w:val="00E028B8"/>
    <w:rsid w:val="00E07C7E"/>
    <w:rsid w:val="00E10B98"/>
    <w:rsid w:val="00E114A8"/>
    <w:rsid w:val="00E15A62"/>
    <w:rsid w:val="00E304B6"/>
    <w:rsid w:val="00E33DCC"/>
    <w:rsid w:val="00E437DB"/>
    <w:rsid w:val="00E43B6E"/>
    <w:rsid w:val="00E522C4"/>
    <w:rsid w:val="00E576C5"/>
    <w:rsid w:val="00E630A6"/>
    <w:rsid w:val="00E66452"/>
    <w:rsid w:val="00E67FBB"/>
    <w:rsid w:val="00E74868"/>
    <w:rsid w:val="00E870FF"/>
    <w:rsid w:val="00E93C7B"/>
    <w:rsid w:val="00E94B27"/>
    <w:rsid w:val="00E977E7"/>
    <w:rsid w:val="00EA4E7E"/>
    <w:rsid w:val="00EB1F01"/>
    <w:rsid w:val="00EC01E6"/>
    <w:rsid w:val="00EC3231"/>
    <w:rsid w:val="00EC51F1"/>
    <w:rsid w:val="00EE0968"/>
    <w:rsid w:val="00EE349B"/>
    <w:rsid w:val="00EF0F8B"/>
    <w:rsid w:val="00EF114E"/>
    <w:rsid w:val="00EF35DE"/>
    <w:rsid w:val="00EF421F"/>
    <w:rsid w:val="00EF7920"/>
    <w:rsid w:val="00F1188F"/>
    <w:rsid w:val="00F26E13"/>
    <w:rsid w:val="00F3402B"/>
    <w:rsid w:val="00F44CCF"/>
    <w:rsid w:val="00F46BBC"/>
    <w:rsid w:val="00F66721"/>
    <w:rsid w:val="00F819B8"/>
    <w:rsid w:val="00F836F6"/>
    <w:rsid w:val="00F83B3C"/>
    <w:rsid w:val="00F84444"/>
    <w:rsid w:val="00F859E4"/>
    <w:rsid w:val="00F93EDF"/>
    <w:rsid w:val="00F96A04"/>
    <w:rsid w:val="00FA20A8"/>
    <w:rsid w:val="00FB04DB"/>
    <w:rsid w:val="00FC4507"/>
    <w:rsid w:val="00FD52A3"/>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ate.univ.kiev.ua/?p=1466" TargetMode="External"/><Relationship Id="rId18" Type="http://schemas.openxmlformats.org/officeDocument/2006/relationships/hyperlink" Target="https://www.facebook.com/department.quality" TargetMode="External"/><Relationship Id="rId26" Type="http://schemas.openxmlformats.org/officeDocument/2006/relationships/hyperlink" Target="http://nmc.univ.kiev.ua/docs/Poloz_org_osv_proc-2018.pdf" TargetMode="External"/><Relationship Id="rId3" Type="http://schemas.openxmlformats.org/officeDocument/2006/relationships/styles" Target="styles.xml"/><Relationship Id="rId21" Type="http://schemas.openxmlformats.org/officeDocument/2006/relationships/hyperlink" Target="http://nmc.univ.kiev.ua/docs/Poloz_org_osv_proc-2018.pdf" TargetMode="External"/><Relationship Id="rId7" Type="http://schemas.openxmlformats.org/officeDocument/2006/relationships/endnotes" Target="endnotes.xml"/><Relationship Id="rId12" Type="http://schemas.openxmlformats.org/officeDocument/2006/relationships/hyperlink" Target="http://sp.knu.ua/wp-content/uploads/2021/06/%D1%80%D0%BE%D0%B7%D0%BF%D0%BE%D1%80%D1%8F%D0%B4%D0%B6%D0%B5%D0%BD%D0%BD%D1%8F-114.pdf" TargetMode="External"/><Relationship Id="rId17" Type="http://schemas.openxmlformats.org/officeDocument/2006/relationships/hyperlink" Target="https://knu.ua/pdfs/official/Quality-assurance-system-of-education-and-educational-process.pdf" TargetMode="External"/><Relationship Id="rId25" Type="http://schemas.openxmlformats.org/officeDocument/2006/relationships/hyperlink" Target="https://www.knu.ua/pdfs/official/ethical-code/Ethical-code-of-the-university-community.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ate.univ.kiev.ua/?p=2123" TargetMode="External"/><Relationship Id="rId20" Type="http://schemas.openxmlformats.org/officeDocument/2006/relationships/hyperlink" Target="https://knu.ua/pdfs/official/must-published/statut-22-02-17.pdf" TargetMode="External"/><Relationship Id="rId29" Type="http://schemas.openxmlformats.org/officeDocument/2006/relationships/hyperlink" Target="http://senate.univ.kiev.ua/?p=16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tt.ly/jYVxgFT" TargetMode="External"/><Relationship Id="rId24" Type="http://schemas.openxmlformats.org/officeDocument/2006/relationships/hyperlink" Target="https://knu.ua/pdfs/official/Quality-assurance-system-of-education-and-educational-process.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ate.univ.kiev.ua/?p=1894" TargetMode="External"/><Relationship Id="rId23" Type="http://schemas.openxmlformats.org/officeDocument/2006/relationships/hyperlink" Target="http://nmc.univ.kiev.ua/docs/Polojennya%20QAS%202019.pdf" TargetMode="External"/><Relationship Id="rId28" Type="http://schemas.openxmlformats.org/officeDocument/2006/relationships/hyperlink" Target="http://nmc.univ.kiev.ua/docs/Poloz_org_osv_proc-2018.pdf" TargetMode="External"/><Relationship Id="rId10" Type="http://schemas.openxmlformats.org/officeDocument/2006/relationships/hyperlink" Target="https://phys.knu.ua/wpcontent/uploads/2022/10/nakaz_pereveden_ivt_ff_09092020.pdf" TargetMode="External"/><Relationship Id="rId19" Type="http://schemas.openxmlformats.org/officeDocument/2006/relationships/hyperlink" Target="http://univ.kiev.ua/pdfs/statut/statut-22-02-17.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hyperlink" Target="http://senate.univ.kiev.ua/?p=1650" TargetMode="External"/><Relationship Id="rId22" Type="http://schemas.openxmlformats.org/officeDocument/2006/relationships/hyperlink" Target="https://knu.ua/pdfs/official/Polozhennia-pro-organizatsiyu-osvitniogo-procesu-11_04_2022.pdf" TargetMode="External"/><Relationship Id="rId27" Type="http://schemas.openxmlformats.org/officeDocument/2006/relationships/hyperlink" Target="https://www.knu.ua/pdfs/official/Procedure-for-resolving-conflict-situations-in-University.pdf" TargetMode="External"/><Relationship Id="rId30" Type="http://schemas.openxmlformats.org/officeDocument/2006/relationships/hyperlink" Target="https://studmisto.knu.ua/management/documents/regulation-documents/257-pravyla-vnutrishnoho-rozporiadku" TargetMode="External"/><Relationship Id="rId8" Type="http://schemas.openxmlformats.org/officeDocument/2006/relationships/hyperlink" Target="https://vstup.kn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3791</TotalTime>
  <Pages>47</Pages>
  <Words>15882</Words>
  <Characters>90529</Characters>
  <Application>Microsoft Office Word</Application>
  <DocSecurity>0</DocSecurity>
  <Lines>754</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265</cp:revision>
  <dcterms:created xsi:type="dcterms:W3CDTF">2022-11-01T09:58:00Z</dcterms:created>
  <dcterms:modified xsi:type="dcterms:W3CDTF">2023-01-26T09:44:00Z</dcterms:modified>
</cp:coreProperties>
</file>