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BDC58" w14:textId="77777777" w:rsidR="001627CA" w:rsidRPr="00B57D41" w:rsidRDefault="00B57D41" w:rsidP="00A67FDE">
      <w:pPr>
        <w:spacing w:line="276" w:lineRule="auto"/>
        <w:jc w:val="center"/>
      </w:pPr>
      <w:r w:rsidRPr="00B57D41">
        <w:t>МІНІСТЕРСТВО ОСВІТИ І НАУКИ УКРАЇНИ</w:t>
      </w:r>
    </w:p>
    <w:p w14:paraId="7B00C70D" w14:textId="77777777" w:rsidR="00B57D41" w:rsidRDefault="00B57D41" w:rsidP="00A67FDE">
      <w:pPr>
        <w:spacing w:line="276" w:lineRule="auto"/>
        <w:jc w:val="center"/>
      </w:pPr>
      <w:r w:rsidRPr="00B57D41">
        <w:t xml:space="preserve">КИЇВСЬКИЙ НАЦІОНАЛЬНИЙ УНІВЕРСИТЕТ ІМЕНІ </w:t>
      </w:r>
    </w:p>
    <w:p w14:paraId="67E12891" w14:textId="77777777" w:rsidR="001627CA" w:rsidRPr="00B57D41" w:rsidRDefault="00B57D41" w:rsidP="00A67FDE">
      <w:pPr>
        <w:spacing w:line="276" w:lineRule="auto"/>
        <w:jc w:val="center"/>
      </w:pPr>
      <w:r w:rsidRPr="00B57D41">
        <w:t>ТАРАСА ШЕВЧЕНКА</w:t>
      </w:r>
    </w:p>
    <w:p w14:paraId="43DE43C7" w14:textId="77777777" w:rsidR="001627CA" w:rsidRPr="00A67FDE" w:rsidRDefault="001627CA" w:rsidP="00A67FDE">
      <w:pPr>
        <w:spacing w:line="276" w:lineRule="auto"/>
        <w:jc w:val="center"/>
      </w:pPr>
    </w:p>
    <w:p w14:paraId="40DB01DC" w14:textId="77777777" w:rsidR="00A67FDE" w:rsidRDefault="00A67FDE" w:rsidP="00A67FDE">
      <w:pPr>
        <w:pStyle w:val="2"/>
        <w:spacing w:line="276" w:lineRule="auto"/>
        <w:rPr>
          <w:b w:val="0"/>
          <w:bCs/>
        </w:rPr>
      </w:pPr>
    </w:p>
    <w:p w14:paraId="2CE32339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0CB146E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9DB87D2" w14:textId="77777777" w:rsidR="001627CA" w:rsidRPr="00A67FDE" w:rsidRDefault="001627CA" w:rsidP="00A67FDE">
      <w:pPr>
        <w:pStyle w:val="2"/>
        <w:spacing w:line="276" w:lineRule="auto"/>
        <w:rPr>
          <w:b w:val="0"/>
          <w:bCs/>
        </w:rPr>
      </w:pPr>
    </w:p>
    <w:p w14:paraId="65F63E2E" w14:textId="77777777" w:rsidR="001627CA" w:rsidRPr="00A67FDE" w:rsidRDefault="001627CA" w:rsidP="00A67FDE">
      <w:pPr>
        <w:pStyle w:val="2"/>
        <w:spacing w:line="276" w:lineRule="auto"/>
        <w:ind w:left="-360"/>
        <w:jc w:val="center"/>
      </w:pPr>
      <w:r w:rsidRPr="00A67FDE">
        <w:t>ЗВІТ</w:t>
      </w:r>
    </w:p>
    <w:p w14:paraId="32BC6213" w14:textId="1021682E" w:rsidR="005B1BD0" w:rsidRPr="00BE741E" w:rsidRDefault="001627CA" w:rsidP="005B1BD0">
      <w:pPr>
        <w:jc w:val="center"/>
        <w:rPr>
          <w:bCs/>
          <w:lang w:val="en-US"/>
        </w:rPr>
      </w:pPr>
      <w:r w:rsidRPr="00A67FDE">
        <w:t xml:space="preserve">по договору </w:t>
      </w:r>
      <w:r w:rsidRPr="007D6FB0">
        <w:t xml:space="preserve">підряду № </w:t>
      </w:r>
      <w:r w:rsidR="007D6FB0" w:rsidRPr="007D6FB0">
        <w:rPr>
          <w:bCs/>
        </w:rPr>
        <w:t xml:space="preserve"> </w:t>
      </w:r>
      <w:r w:rsidR="00BE741E" w:rsidRPr="00BE741E">
        <w:rPr>
          <w:bCs/>
        </w:rPr>
        <w:t>25 ГФ051-02</w:t>
      </w:r>
    </w:p>
    <w:p w14:paraId="000B33F2" w14:textId="77777777" w:rsidR="005B1BD0" w:rsidRPr="007B108D" w:rsidRDefault="005B1BD0" w:rsidP="005B1BD0">
      <w:pPr>
        <w:ind w:left="4956"/>
        <w:jc w:val="center"/>
        <w:rPr>
          <w:bCs/>
          <w:i/>
          <w:color w:val="FF0000"/>
          <w:sz w:val="24"/>
          <w:szCs w:val="24"/>
        </w:rPr>
      </w:pPr>
    </w:p>
    <w:p w14:paraId="48D47180" w14:textId="189B6306" w:rsidR="007B108D" w:rsidRDefault="007B108D" w:rsidP="007B108D">
      <w:pPr>
        <w:spacing w:line="276" w:lineRule="auto"/>
        <w:jc w:val="center"/>
      </w:pPr>
      <w:r>
        <w:t xml:space="preserve">за договором від </w:t>
      </w:r>
      <w:r w:rsidR="007D6FB0" w:rsidRPr="007D6FB0">
        <w:t xml:space="preserve">«03» березня 2025 року </w:t>
      </w:r>
      <w:r w:rsidR="00BE741E" w:rsidRPr="00BE741E">
        <w:t>№ 93/0252</w:t>
      </w:r>
    </w:p>
    <w:p w14:paraId="19132A40" w14:textId="77777777" w:rsidR="007B108D" w:rsidRPr="00A67FDE" w:rsidRDefault="007B108D" w:rsidP="007B108D">
      <w:pPr>
        <w:spacing w:line="276" w:lineRule="auto"/>
        <w:jc w:val="center"/>
      </w:pPr>
      <w:r>
        <w:t>на виконання грантової підтримки НФДУ</w:t>
      </w:r>
    </w:p>
    <w:p w14:paraId="0F4885D6" w14:textId="77777777" w:rsidR="00AC38BD" w:rsidRPr="00AC38BD" w:rsidRDefault="00AC38BD" w:rsidP="00A67FDE">
      <w:pPr>
        <w:pStyle w:val="2"/>
        <w:spacing w:line="276" w:lineRule="auto"/>
        <w:jc w:val="center"/>
        <w:rPr>
          <w:b w:val="0"/>
        </w:rPr>
      </w:pPr>
    </w:p>
    <w:p w14:paraId="6C431923" w14:textId="77777777" w:rsidR="001627CA" w:rsidRPr="00AC7C7D" w:rsidRDefault="001627CA" w:rsidP="00DB7516">
      <w:pPr>
        <w:pStyle w:val="2"/>
        <w:spacing w:line="240" w:lineRule="auto"/>
        <w:jc w:val="center"/>
        <w:rPr>
          <w:bCs/>
        </w:rPr>
      </w:pPr>
      <w:r w:rsidRPr="00AC7C7D">
        <w:rPr>
          <w:bCs/>
        </w:rPr>
        <w:t xml:space="preserve">за період з </w:t>
      </w:r>
      <w:r w:rsidR="00A4769A" w:rsidRPr="00AC7C7D">
        <w:rPr>
          <w:bCs/>
          <w:lang w:val="ru-RU"/>
        </w:rPr>
        <w:t>«</w:t>
      </w:r>
      <w:r w:rsidR="007D6FB0" w:rsidRPr="00AC7C7D">
        <w:rPr>
          <w:bCs/>
        </w:rPr>
        <w:t>03</w:t>
      </w:r>
      <w:r w:rsidR="00A4769A" w:rsidRPr="00AC7C7D">
        <w:rPr>
          <w:bCs/>
          <w:lang w:val="ru-RU"/>
        </w:rPr>
        <w:t xml:space="preserve">» </w:t>
      </w:r>
      <w:r w:rsidR="007D6FB0" w:rsidRPr="00AC7C7D">
        <w:rPr>
          <w:bCs/>
          <w:lang w:val="ru-RU"/>
        </w:rPr>
        <w:t>березня</w:t>
      </w:r>
      <w:r w:rsidR="00A4769A" w:rsidRPr="00AC7C7D">
        <w:rPr>
          <w:bCs/>
        </w:rPr>
        <w:t xml:space="preserve"> </w:t>
      </w:r>
      <w:r w:rsidRPr="00AC7C7D">
        <w:rPr>
          <w:bCs/>
        </w:rPr>
        <w:t>202</w:t>
      </w:r>
      <w:r w:rsidR="007D6FB0" w:rsidRPr="00AC7C7D">
        <w:rPr>
          <w:bCs/>
        </w:rPr>
        <w:t>5</w:t>
      </w:r>
      <w:r w:rsidR="00A4769A" w:rsidRPr="00AC7C7D">
        <w:rPr>
          <w:bCs/>
        </w:rPr>
        <w:t xml:space="preserve"> року</w:t>
      </w:r>
      <w:r w:rsidRPr="00AC7C7D">
        <w:rPr>
          <w:bCs/>
        </w:rPr>
        <w:t xml:space="preserve"> по </w:t>
      </w:r>
      <w:r w:rsidR="00A4769A" w:rsidRPr="00AC7C7D">
        <w:rPr>
          <w:bCs/>
        </w:rPr>
        <w:t>«</w:t>
      </w:r>
      <w:r w:rsidR="00ED633C" w:rsidRPr="00AC7C7D">
        <w:rPr>
          <w:bCs/>
        </w:rPr>
        <w:t>30</w:t>
      </w:r>
      <w:r w:rsidR="00A4769A" w:rsidRPr="00AC7C7D">
        <w:rPr>
          <w:bCs/>
        </w:rPr>
        <w:t xml:space="preserve">» </w:t>
      </w:r>
      <w:r w:rsidR="00ED633C" w:rsidRPr="00AC7C7D">
        <w:rPr>
          <w:bCs/>
        </w:rPr>
        <w:t>травня</w:t>
      </w:r>
      <w:r w:rsidR="00A4769A" w:rsidRPr="00AC7C7D">
        <w:rPr>
          <w:bCs/>
        </w:rPr>
        <w:t xml:space="preserve"> </w:t>
      </w:r>
      <w:r w:rsidRPr="00AC7C7D">
        <w:rPr>
          <w:bCs/>
        </w:rPr>
        <w:t>202</w:t>
      </w:r>
      <w:r w:rsidR="007D6FB0" w:rsidRPr="00AC7C7D">
        <w:rPr>
          <w:bCs/>
        </w:rPr>
        <w:t>5</w:t>
      </w:r>
      <w:r w:rsidR="00A4769A" w:rsidRPr="00AC7C7D">
        <w:rPr>
          <w:bCs/>
        </w:rPr>
        <w:t xml:space="preserve"> року</w:t>
      </w:r>
    </w:p>
    <w:p w14:paraId="65284EF8" w14:textId="57996C00" w:rsidR="005B1BD0" w:rsidRPr="00E72D96" w:rsidRDefault="005B1BD0" w:rsidP="005B1BD0">
      <w:pPr>
        <w:pStyle w:val="a8"/>
        <w:jc w:val="center"/>
        <w:rPr>
          <w:b/>
          <w:bCs/>
          <w:sz w:val="28"/>
          <w:szCs w:val="28"/>
          <w:lang w:val="uk-UA"/>
        </w:rPr>
      </w:pPr>
      <w:bookmarkStart w:id="0" w:name="_Hlk165030076"/>
      <w:r w:rsidRPr="00AC7C7D">
        <w:rPr>
          <w:b/>
          <w:bCs/>
          <w:sz w:val="28"/>
          <w:szCs w:val="28"/>
          <w:lang w:val="uk-UA"/>
        </w:rPr>
        <w:t>«</w:t>
      </w:r>
      <w:r w:rsidR="00B1656F" w:rsidRPr="00B1656F">
        <w:rPr>
          <w:b/>
          <w:bCs/>
          <w:iCs/>
          <w:sz w:val="28"/>
          <w:szCs w:val="28"/>
          <w:lang w:val="uk-UA"/>
        </w:rPr>
        <w:t>Глибокі нейронні мережі для оцінки та оптимізації теплотранспортних властивостей мультишарових структур</w:t>
      </w:r>
      <w:r w:rsidR="00BE741E" w:rsidRPr="00E72D96">
        <w:rPr>
          <w:b/>
          <w:bCs/>
          <w:iCs/>
          <w:sz w:val="28"/>
          <w:szCs w:val="28"/>
          <w:lang w:val="uk-UA"/>
        </w:rPr>
        <w:t xml:space="preserve"> </w:t>
      </w:r>
      <w:r w:rsidR="00834A5E" w:rsidRPr="00E72D96">
        <w:rPr>
          <w:b/>
          <w:bCs/>
          <w:iCs/>
          <w:sz w:val="28"/>
          <w:szCs w:val="28"/>
          <w:lang w:val="uk-UA"/>
        </w:rPr>
        <w:t>(</w:t>
      </w:r>
      <w:r w:rsidR="00B1656F">
        <w:rPr>
          <w:b/>
          <w:bCs/>
          <w:iCs/>
          <w:sz w:val="28"/>
          <w:szCs w:val="28"/>
          <w:lang w:val="uk-UA"/>
        </w:rPr>
        <w:t>прогнозування амплітудо-частотних характеристик фотоелектричного відгуку мультишарових структур</w:t>
      </w:r>
      <w:r w:rsidR="00834A5E" w:rsidRPr="00E72D96">
        <w:rPr>
          <w:b/>
          <w:bCs/>
          <w:iCs/>
          <w:sz w:val="28"/>
          <w:szCs w:val="28"/>
          <w:lang w:val="uk-UA"/>
        </w:rPr>
        <w:t>).</w:t>
      </w:r>
      <w:r w:rsidRPr="00E72D96">
        <w:rPr>
          <w:b/>
          <w:bCs/>
          <w:sz w:val="28"/>
          <w:szCs w:val="28"/>
          <w:lang w:val="uk-UA"/>
        </w:rPr>
        <w:t>»</w:t>
      </w:r>
    </w:p>
    <w:p w14:paraId="566A78A7" w14:textId="77777777" w:rsidR="001B44A1" w:rsidRPr="00E72D96" w:rsidRDefault="001B44A1" w:rsidP="00A67FDE">
      <w:pPr>
        <w:widowControl w:val="0"/>
        <w:spacing w:line="276" w:lineRule="auto"/>
        <w:jc w:val="center"/>
        <w:rPr>
          <w:bCs/>
        </w:rPr>
      </w:pPr>
    </w:p>
    <w:p w14:paraId="4DA38279" w14:textId="77777777" w:rsidR="00ED633C" w:rsidRPr="00E72D96" w:rsidRDefault="00ED633C" w:rsidP="00A67FDE">
      <w:pPr>
        <w:widowControl w:val="0"/>
        <w:spacing w:line="276" w:lineRule="auto"/>
        <w:jc w:val="center"/>
        <w:rPr>
          <w:bCs/>
        </w:rPr>
      </w:pPr>
    </w:p>
    <w:p w14:paraId="14D133B3" w14:textId="77777777" w:rsidR="00ED633C" w:rsidRPr="00E72D96" w:rsidRDefault="00ED633C" w:rsidP="00A67FDE">
      <w:pPr>
        <w:widowControl w:val="0"/>
        <w:spacing w:line="276" w:lineRule="auto"/>
        <w:jc w:val="center"/>
        <w:rPr>
          <w:bCs/>
        </w:rPr>
      </w:pPr>
    </w:p>
    <w:bookmarkEnd w:id="0"/>
    <w:p w14:paraId="38B92867" w14:textId="40B8577A" w:rsidR="00AD10F4" w:rsidRPr="00E72D9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</w:rPr>
      </w:pPr>
      <w:r w:rsidRPr="00E72D96">
        <w:rPr>
          <w:b w:val="0"/>
          <w:bCs/>
        </w:rPr>
        <w:t xml:space="preserve">Науковий керівник </w:t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Pr="00E72D96">
        <w:rPr>
          <w:b w:val="0"/>
          <w:bCs/>
          <w:sz w:val="24"/>
          <w:szCs w:val="24"/>
        </w:rPr>
        <w:t>_______________</w:t>
      </w:r>
      <w:r w:rsidRPr="00E72D96">
        <w:rPr>
          <w:b w:val="0"/>
          <w:bCs/>
          <w:sz w:val="24"/>
          <w:szCs w:val="24"/>
        </w:rPr>
        <w:tab/>
      </w:r>
      <w:r w:rsidR="00BE741E" w:rsidRPr="00E72D96">
        <w:rPr>
          <w:b w:val="0"/>
          <w:bCs/>
          <w:sz w:val="24"/>
          <w:szCs w:val="24"/>
        </w:rPr>
        <w:t>Павло</w:t>
      </w:r>
      <w:r w:rsidR="007D6FB0" w:rsidRPr="00E72D96">
        <w:rPr>
          <w:b w:val="0"/>
        </w:rPr>
        <w:t xml:space="preserve"> </w:t>
      </w:r>
      <w:r w:rsidR="00BE741E" w:rsidRPr="00E72D96">
        <w:rPr>
          <w:b w:val="0"/>
        </w:rPr>
        <w:t>ЛІЩУК</w:t>
      </w:r>
    </w:p>
    <w:p w14:paraId="324FD11C" w14:textId="77777777" w:rsidR="00AD10F4" w:rsidRPr="00E72D9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vertAlign w:val="superscript"/>
        </w:rPr>
      </w:pP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</w:p>
    <w:p w14:paraId="3B15E2E8" w14:textId="77777777" w:rsidR="00AD10F4" w:rsidRPr="00E72D96" w:rsidRDefault="00AD10F4" w:rsidP="00AD10F4">
      <w:pPr>
        <w:pStyle w:val="a8"/>
        <w:rPr>
          <w:bCs/>
          <w:sz w:val="28"/>
          <w:szCs w:val="28"/>
        </w:rPr>
      </w:pPr>
    </w:p>
    <w:p w14:paraId="51AEBFE9" w14:textId="0687337E" w:rsidR="00AD10F4" w:rsidRPr="00E72D9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</w:rPr>
      </w:pPr>
      <w:r w:rsidRPr="00E72D96">
        <w:rPr>
          <w:b w:val="0"/>
          <w:bCs/>
        </w:rPr>
        <w:t xml:space="preserve">Виконавець </w:t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="00414F76" w:rsidRPr="00E72D96">
        <w:rPr>
          <w:b w:val="0"/>
          <w:bCs/>
        </w:rPr>
        <w:tab/>
      </w:r>
      <w:r w:rsidRPr="00E72D96">
        <w:rPr>
          <w:b w:val="0"/>
          <w:bCs/>
        </w:rPr>
        <w:t>_______________</w:t>
      </w:r>
      <w:r w:rsidRPr="00E72D96">
        <w:rPr>
          <w:b w:val="0"/>
          <w:bCs/>
        </w:rPr>
        <w:tab/>
      </w:r>
      <w:r w:rsidR="00B1656F">
        <w:rPr>
          <w:b w:val="0"/>
          <w:lang w:val="ru-RU"/>
        </w:rPr>
        <w:t>Денис</w:t>
      </w:r>
      <w:r w:rsidR="00391702" w:rsidRPr="00E72D96">
        <w:rPr>
          <w:b w:val="0"/>
        </w:rPr>
        <w:t xml:space="preserve"> </w:t>
      </w:r>
      <w:r w:rsidR="00B1656F">
        <w:rPr>
          <w:b w:val="0"/>
          <w:lang w:val="ru-RU"/>
        </w:rPr>
        <w:t>КАЛЮЖНИЙ</w:t>
      </w:r>
    </w:p>
    <w:p w14:paraId="3805417C" w14:textId="77777777" w:rsidR="00AD10F4" w:rsidRPr="00E72D9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vertAlign w:val="superscript"/>
        </w:rPr>
      </w:pP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  <w:r w:rsidRPr="00E72D96">
        <w:rPr>
          <w:b w:val="0"/>
          <w:bCs/>
        </w:rPr>
        <w:tab/>
      </w:r>
    </w:p>
    <w:p w14:paraId="3CAE04D8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7AFCA14A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48C49762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38F05C0D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6517632C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4D446C92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5505F1DB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601C5013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3938C9DC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52A4D869" w14:textId="77777777" w:rsidR="007D6FB0" w:rsidRPr="00E72D96" w:rsidRDefault="007D6FB0" w:rsidP="00A67FDE">
      <w:pPr>
        <w:spacing w:line="276" w:lineRule="auto"/>
        <w:jc w:val="center"/>
        <w:rPr>
          <w:i/>
          <w:iCs/>
        </w:rPr>
      </w:pPr>
    </w:p>
    <w:p w14:paraId="190F05AB" w14:textId="77777777" w:rsidR="00A21A19" w:rsidRPr="00E72D96" w:rsidRDefault="00A21A19">
      <w:pPr>
        <w:rPr>
          <w:i/>
          <w:iCs/>
        </w:rPr>
      </w:pPr>
      <w:r w:rsidRPr="00E72D96">
        <w:rPr>
          <w:i/>
          <w:iCs/>
        </w:rPr>
        <w:br w:type="page"/>
      </w:r>
    </w:p>
    <w:p w14:paraId="70593C92" w14:textId="77777777" w:rsidR="00BE6238" w:rsidRPr="007D6FB0" w:rsidRDefault="00C96D56" w:rsidP="00A67FDE">
      <w:pPr>
        <w:spacing w:line="276" w:lineRule="auto"/>
        <w:jc w:val="center"/>
        <w:rPr>
          <w:i/>
          <w:iCs/>
        </w:rPr>
      </w:pPr>
      <w:r w:rsidRPr="007D6FB0">
        <w:rPr>
          <w:i/>
          <w:iCs/>
        </w:rPr>
        <w:lastRenderedPageBreak/>
        <w:t>Зміст виконаної роботи</w:t>
      </w:r>
    </w:p>
    <w:p w14:paraId="2A75A9DF" w14:textId="77777777" w:rsidR="007E1226" w:rsidRDefault="007E1226" w:rsidP="006540B3">
      <w:pPr>
        <w:spacing w:line="312" w:lineRule="auto"/>
        <w:ind w:firstLine="567"/>
        <w:jc w:val="both"/>
        <w:rPr>
          <w:b w:val="0"/>
          <w:bCs/>
        </w:rPr>
      </w:pPr>
    </w:p>
    <w:p w14:paraId="259B77D6" w14:textId="2A07C42A" w:rsidR="00A1133B" w:rsidRPr="00A1133B" w:rsidRDefault="00A1133B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Один із шляхів експериментального визначення коефіцієнта теплопровідності (ТС) мультишарових поруватих структур полягає у порівнянні експериментально виміряних амплітудо-частотних характеристик (АЧХ) фотоакустичного </w:t>
      </w:r>
      <w:r w:rsidR="007F20E3">
        <w:rPr>
          <w:b w:val="0"/>
        </w:rPr>
        <w:t xml:space="preserve">(ФА) </w:t>
      </w:r>
      <w:r>
        <w:rPr>
          <w:b w:val="0"/>
        </w:rPr>
        <w:t xml:space="preserve">сигналу з сімейством теоретично розрахованих при різних значеннях ТС. Розрахунки проводяться, наприклад, за допомогою </w:t>
      </w:r>
      <w:r w:rsidRPr="00F52F21">
        <w:rPr>
          <w:b w:val="0"/>
          <w:bCs/>
        </w:rPr>
        <w:t>програмного пакету Comsol</w:t>
      </w:r>
      <w:r>
        <w:rPr>
          <w:b w:val="0"/>
          <w:bCs/>
        </w:rPr>
        <w:t xml:space="preserve"> і вимагають достатньо багато часу. Основним завданням, яке вирішувалося на даному етапі полягало у створенні глибокої нейронної мережі (ГНМ), здатної </w:t>
      </w:r>
      <w:r w:rsidR="007F20E3">
        <w:rPr>
          <w:b w:val="0"/>
          <w:bCs/>
        </w:rPr>
        <w:t>генерувати АЧХ ФА сигналу для двошарової системи поруватого кремнію з довільними значеннями поруватості шарів та величини теплопровідності.</w:t>
      </w:r>
    </w:p>
    <w:p w14:paraId="38709FC6" w14:textId="4636BC99" w:rsidR="00A1133B" w:rsidRPr="00B56C12" w:rsidRDefault="007F20E3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Для створення тестового та тренувального наборів даних використовувалися результати розрахунків АЧХ систем, що складалися з двох шарів товщиною 2,5 мкм кожен та наступними наборами коефіцієнтів поруватості </w:t>
      </w:r>
      <w:r w:rsidRPr="007F20E3">
        <w:rPr>
          <w:b w:val="0"/>
          <w:i/>
          <w:iCs/>
          <w:lang w:val="en-US"/>
        </w:rPr>
        <w:t>p</w:t>
      </w:r>
      <w:r w:rsidRPr="007F20E3">
        <w:rPr>
          <w:b w:val="0"/>
          <w:vertAlign w:val="subscript"/>
          <w:lang w:val="en-US"/>
        </w:rPr>
        <w:t>1</w:t>
      </w:r>
      <w:r>
        <w:rPr>
          <w:b w:val="0"/>
          <w:lang w:val="en-US"/>
        </w:rPr>
        <w:t>/</w:t>
      </w:r>
      <w:r w:rsidRPr="007F20E3">
        <w:rPr>
          <w:b w:val="0"/>
          <w:i/>
          <w:iCs/>
          <w:lang w:val="en-US"/>
        </w:rPr>
        <w:t>p</w:t>
      </w:r>
      <w:r w:rsidRPr="007F20E3">
        <w:rPr>
          <w:b w:val="0"/>
          <w:vertAlign w:val="subscript"/>
          <w:lang w:val="en-US"/>
        </w:rPr>
        <w:t>2</w:t>
      </w:r>
      <w:r w:rsidR="0081762D">
        <w:rPr>
          <w:b w:val="0"/>
          <w:lang w:val="en-US"/>
        </w:rPr>
        <w:t xml:space="preserve"> (%)</w:t>
      </w:r>
      <w:r>
        <w:rPr>
          <w:b w:val="0"/>
          <w:lang w:val="en-US"/>
        </w:rPr>
        <w:t xml:space="preserve">: </w:t>
      </w:r>
      <w:r w:rsidR="0081762D">
        <w:rPr>
          <w:b w:val="0"/>
          <w:lang w:val="en-US"/>
        </w:rPr>
        <w:t>60/40, 60/45, 65/40, 65/45, 65/50, 70/45, 70/50, 40/40, 45/45, 50/50, 60/60</w:t>
      </w:r>
      <w:r w:rsidR="002A506B">
        <w:rPr>
          <w:b w:val="0"/>
          <w:lang w:val="en-US"/>
        </w:rPr>
        <w:t xml:space="preserve">, 65/65, 70/70. </w:t>
      </w:r>
      <w:r w:rsidR="002A506B" w:rsidRPr="00FB2546">
        <w:rPr>
          <w:b w:val="0"/>
        </w:rPr>
        <w:t>В розрахунках передбачалося, що освітлення відбувається при кімнатній температурі з використанням опромінення з довжиною хвилі 405 нм.</w:t>
      </w:r>
      <w:r w:rsidR="002A506B">
        <w:rPr>
          <w:b w:val="0"/>
          <w:lang w:val="en-US"/>
        </w:rPr>
        <w:t xml:space="preserve"> </w:t>
      </w:r>
      <w:r w:rsidR="002A506B">
        <w:rPr>
          <w:b w:val="0"/>
        </w:rPr>
        <w:t xml:space="preserve">АЧХ розраховувалися в діапазоні частот </w:t>
      </w:r>
      <w:r w:rsidR="002A506B" w:rsidRPr="002A506B">
        <w:rPr>
          <w:b w:val="0"/>
          <w:i/>
          <w:iCs/>
          <w:lang w:val="en-US"/>
        </w:rPr>
        <w:t>f</w:t>
      </w:r>
      <w:r w:rsidR="002A506B">
        <w:rPr>
          <w:b w:val="0"/>
          <w:lang w:val="en-US"/>
        </w:rPr>
        <w:t xml:space="preserve"> = (</w:t>
      </w:r>
      <w:r w:rsidR="002A506B">
        <w:rPr>
          <w:b w:val="0"/>
        </w:rPr>
        <w:t>1-2999</w:t>
      </w:r>
      <w:r w:rsidR="002A506B">
        <w:rPr>
          <w:b w:val="0"/>
          <w:lang w:val="en-US"/>
        </w:rPr>
        <w:t>)</w:t>
      </w:r>
      <w:r w:rsidR="002A506B">
        <w:rPr>
          <w:b w:val="0"/>
        </w:rPr>
        <w:t xml:space="preserve"> Гц з кроком 1 Гц для систем з теплопровідністю ТС =</w:t>
      </w:r>
      <w:r w:rsidR="002A506B">
        <w:rPr>
          <w:b w:val="0"/>
          <w:lang w:val="en-US"/>
        </w:rPr>
        <w:t> (0,1-5) </w:t>
      </w:r>
      <w:r w:rsidR="002A506B">
        <w:rPr>
          <w:b w:val="0"/>
        </w:rPr>
        <w:t xml:space="preserve">Вт/мК з кроком 0,25 </w:t>
      </w:r>
      <w:r w:rsidR="002A506B">
        <w:rPr>
          <w:b w:val="0"/>
        </w:rPr>
        <w:t>Вт/мК</w:t>
      </w:r>
      <w:r w:rsidR="002A506B">
        <w:rPr>
          <w:b w:val="0"/>
        </w:rPr>
        <w:t xml:space="preserve">. Набір дескрипторів </w:t>
      </w:r>
      <w:r w:rsidR="00B56C12">
        <w:rPr>
          <w:b w:val="0"/>
        </w:rPr>
        <w:t>для передбачення величини ФА напруги складався з чотирьох параметрів: (</w:t>
      </w:r>
      <w:r w:rsidR="00B56C12" w:rsidRPr="007F20E3">
        <w:rPr>
          <w:b w:val="0"/>
          <w:i/>
          <w:iCs/>
          <w:lang w:val="en-US"/>
        </w:rPr>
        <w:t>p</w:t>
      </w:r>
      <w:r w:rsidR="00B56C12" w:rsidRPr="007F20E3">
        <w:rPr>
          <w:b w:val="0"/>
          <w:vertAlign w:val="subscript"/>
          <w:lang w:val="en-US"/>
        </w:rPr>
        <w:t>1</w:t>
      </w:r>
      <w:r w:rsidR="00B56C12">
        <w:rPr>
          <w:b w:val="0"/>
        </w:rPr>
        <w:t xml:space="preserve">, </w:t>
      </w:r>
      <w:r w:rsidR="00B56C12" w:rsidRPr="007F20E3">
        <w:rPr>
          <w:b w:val="0"/>
          <w:i/>
          <w:iCs/>
          <w:lang w:val="en-US"/>
        </w:rPr>
        <w:t>p</w:t>
      </w:r>
      <w:r w:rsidR="00B56C12" w:rsidRPr="007F20E3">
        <w:rPr>
          <w:b w:val="0"/>
          <w:vertAlign w:val="subscript"/>
          <w:lang w:val="en-US"/>
        </w:rPr>
        <w:t>2</w:t>
      </w:r>
      <w:r w:rsidR="00B56C12">
        <w:rPr>
          <w:b w:val="0"/>
        </w:rPr>
        <w:t xml:space="preserve">, ТС, </w:t>
      </w:r>
      <w:r w:rsidR="00B56C12" w:rsidRPr="00B56C12">
        <w:rPr>
          <w:b w:val="0"/>
          <w:i/>
          <w:iCs/>
          <w:lang w:val="en-US"/>
        </w:rPr>
        <w:t>f</w:t>
      </w:r>
      <w:r w:rsidR="00B56C12">
        <w:rPr>
          <w:b w:val="0"/>
        </w:rPr>
        <w:t>)</w:t>
      </w:r>
      <w:r w:rsidR="00B56C12">
        <w:rPr>
          <w:b w:val="0"/>
          <w:lang w:val="en-US"/>
        </w:rPr>
        <w:t xml:space="preserve">. </w:t>
      </w:r>
      <w:r w:rsidR="00B56C12">
        <w:rPr>
          <w:b w:val="0"/>
        </w:rPr>
        <w:t xml:space="preserve">Попередня обробка даних полягала у логарифмуванні величини </w:t>
      </w:r>
      <w:r w:rsidR="00B56C12" w:rsidRPr="00B56C12">
        <w:rPr>
          <w:b w:val="0"/>
          <w:i/>
          <w:iCs/>
          <w:lang w:val="en-US"/>
        </w:rPr>
        <w:t>f</w:t>
      </w:r>
      <w:r w:rsidR="00B56C12">
        <w:rPr>
          <w:b w:val="0"/>
        </w:rPr>
        <w:t>. Цільовою змінною вважалася величина напруги, нормована на значення, яке очікується при 100 Гц. Такий підхід дозволяв узагальнити результати для широкого кола значень інтенсивності освітлення. Величина напруги також логарифмувалася. Крім того, і для масиву ознак, і для вектору цільових змінних проводилася стандартизація, яка забезпечувала рівність нулеві середнього значення та одиничне стандартне відхилення для кожної змінної.</w:t>
      </w:r>
      <w:r w:rsidR="0070177E">
        <w:rPr>
          <w:b w:val="0"/>
        </w:rPr>
        <w:t xml:space="preserve"> Використання розрахунків при всіх частотах дозволяло отримати набір ознак, який складався з </w:t>
      </w:r>
      <w:r w:rsidR="0070177E" w:rsidRPr="0070177E">
        <w:rPr>
          <w:b w:val="0"/>
        </w:rPr>
        <w:t>3</w:t>
      </w:r>
      <w:r w:rsidR="0070177E">
        <w:rPr>
          <w:b w:val="0"/>
        </w:rPr>
        <w:t> </w:t>
      </w:r>
      <w:r w:rsidR="0070177E" w:rsidRPr="0070177E">
        <w:rPr>
          <w:b w:val="0"/>
        </w:rPr>
        <w:t>274</w:t>
      </w:r>
      <w:r w:rsidR="0070177E">
        <w:rPr>
          <w:b w:val="0"/>
        </w:rPr>
        <w:t> </w:t>
      </w:r>
      <w:r w:rsidR="0070177E" w:rsidRPr="0070177E">
        <w:rPr>
          <w:b w:val="0"/>
        </w:rPr>
        <w:t>908</w:t>
      </w:r>
      <w:r w:rsidR="0070177E">
        <w:rPr>
          <w:b w:val="0"/>
        </w:rPr>
        <w:t xml:space="preserve"> чисел. На жаль, наявне обладнання не дозволяє ефективно працювати з такими об’ємами даних. Тому для роботи були вибрані дані лише при певних частотах, крок вибору залежав від частоти і складав </w:t>
      </w:r>
      <w:r w:rsidR="00D4499A">
        <w:rPr>
          <w:b w:val="0"/>
        </w:rPr>
        <w:t xml:space="preserve">1 Гц при </w:t>
      </w:r>
      <w:r w:rsidR="00D4499A" w:rsidRPr="00D4499A">
        <w:rPr>
          <w:b w:val="0"/>
          <w:i/>
          <w:iCs/>
          <w:lang w:val="en-US"/>
        </w:rPr>
        <w:t>f</w:t>
      </w:r>
      <w:r w:rsidR="00D4499A">
        <w:rPr>
          <w:b w:val="0"/>
          <w:lang w:val="en-US"/>
        </w:rPr>
        <w:t xml:space="preserve"> ≤ 10 </w:t>
      </w:r>
      <w:r w:rsidR="00D4499A">
        <w:rPr>
          <w:b w:val="0"/>
          <w:lang w:val="ru-RU"/>
        </w:rPr>
        <w:t xml:space="preserve">Гц, 2 </w:t>
      </w:r>
      <w:r w:rsidR="00D4499A" w:rsidRPr="00D4499A">
        <w:rPr>
          <w:b w:val="0"/>
        </w:rPr>
        <w:t>Гц</w:t>
      </w:r>
      <w:r w:rsidR="00D4499A">
        <w:rPr>
          <w:b w:val="0"/>
        </w:rPr>
        <w:t xml:space="preserve"> при 10 Гц </w:t>
      </w:r>
      <w:r w:rsidR="00D4499A">
        <w:rPr>
          <w:b w:val="0"/>
          <w:lang w:val="en-US"/>
        </w:rPr>
        <w:t>&lt; </w:t>
      </w:r>
      <w:r w:rsidR="00D4499A" w:rsidRPr="00D4499A">
        <w:rPr>
          <w:b w:val="0"/>
          <w:i/>
          <w:iCs/>
          <w:lang w:val="en-US"/>
        </w:rPr>
        <w:t>f</w:t>
      </w:r>
      <w:r w:rsidR="00D4499A">
        <w:rPr>
          <w:b w:val="0"/>
          <w:lang w:val="en-US"/>
        </w:rPr>
        <w:t> ≤</w:t>
      </w:r>
      <w:r w:rsidR="00D4499A">
        <w:rPr>
          <w:b w:val="0"/>
        </w:rPr>
        <w:t> </w:t>
      </w:r>
      <w:r w:rsidR="00D4499A">
        <w:rPr>
          <w:b w:val="0"/>
          <w:lang w:val="en-US"/>
        </w:rPr>
        <w:t>100</w:t>
      </w:r>
      <w:r w:rsidR="00D4499A">
        <w:rPr>
          <w:b w:val="0"/>
        </w:rPr>
        <w:t> Гц, 10</w:t>
      </w:r>
      <w:r w:rsidR="00D4499A">
        <w:rPr>
          <w:b w:val="0"/>
          <w:lang w:val="ru-RU"/>
        </w:rPr>
        <w:t xml:space="preserve"> </w:t>
      </w:r>
      <w:r w:rsidR="00D4499A" w:rsidRPr="00D4499A">
        <w:rPr>
          <w:b w:val="0"/>
        </w:rPr>
        <w:t>Гц</w:t>
      </w:r>
      <w:r w:rsidR="00D4499A">
        <w:rPr>
          <w:b w:val="0"/>
        </w:rPr>
        <w:t xml:space="preserve"> при 10</w:t>
      </w:r>
      <w:r w:rsidR="00D4499A">
        <w:rPr>
          <w:b w:val="0"/>
        </w:rPr>
        <w:t>0</w:t>
      </w:r>
      <w:r w:rsidR="00D4499A">
        <w:rPr>
          <w:b w:val="0"/>
        </w:rPr>
        <w:t> Гц </w:t>
      </w:r>
      <w:r w:rsidR="00D4499A">
        <w:rPr>
          <w:b w:val="0"/>
          <w:lang w:val="en-US"/>
        </w:rPr>
        <w:t>&lt; </w:t>
      </w:r>
      <w:r w:rsidR="00D4499A" w:rsidRPr="00D4499A">
        <w:rPr>
          <w:b w:val="0"/>
          <w:i/>
          <w:iCs/>
          <w:lang w:val="en-US"/>
        </w:rPr>
        <w:t>f</w:t>
      </w:r>
      <w:r w:rsidR="00D4499A">
        <w:rPr>
          <w:b w:val="0"/>
          <w:lang w:val="en-US"/>
        </w:rPr>
        <w:t> ≤</w:t>
      </w:r>
      <w:r w:rsidR="00D4499A">
        <w:rPr>
          <w:b w:val="0"/>
        </w:rPr>
        <w:t> </w:t>
      </w:r>
      <w:r w:rsidR="00D4499A">
        <w:rPr>
          <w:b w:val="0"/>
        </w:rPr>
        <w:t>2</w:t>
      </w:r>
      <w:r w:rsidR="00D4499A">
        <w:rPr>
          <w:b w:val="0"/>
          <w:lang w:val="en-US"/>
        </w:rPr>
        <w:t>00</w:t>
      </w:r>
      <w:r w:rsidR="00D4499A">
        <w:rPr>
          <w:b w:val="0"/>
        </w:rPr>
        <w:t> Гц</w:t>
      </w:r>
      <w:r w:rsidR="00D4499A">
        <w:rPr>
          <w:b w:val="0"/>
        </w:rPr>
        <w:t xml:space="preserve">, </w:t>
      </w:r>
      <w:r w:rsidR="00D4499A">
        <w:rPr>
          <w:b w:val="0"/>
          <w:lang w:val="ru-RU"/>
        </w:rPr>
        <w:t>2</w:t>
      </w:r>
      <w:r w:rsidR="00D4499A">
        <w:rPr>
          <w:b w:val="0"/>
          <w:lang w:val="ru-RU"/>
        </w:rPr>
        <w:t>0</w:t>
      </w:r>
      <w:r w:rsidR="00D4499A">
        <w:rPr>
          <w:b w:val="0"/>
          <w:lang w:val="ru-RU"/>
        </w:rPr>
        <w:t xml:space="preserve"> </w:t>
      </w:r>
      <w:r w:rsidR="00D4499A" w:rsidRPr="00D4499A">
        <w:rPr>
          <w:b w:val="0"/>
        </w:rPr>
        <w:t>Гц</w:t>
      </w:r>
      <w:r w:rsidR="00D4499A">
        <w:rPr>
          <w:b w:val="0"/>
        </w:rPr>
        <w:t xml:space="preserve"> при </w:t>
      </w:r>
      <w:r w:rsidR="00D4499A">
        <w:rPr>
          <w:b w:val="0"/>
        </w:rPr>
        <w:t>20</w:t>
      </w:r>
      <w:r w:rsidR="00D4499A">
        <w:rPr>
          <w:b w:val="0"/>
        </w:rPr>
        <w:t>0 Гц </w:t>
      </w:r>
      <w:r w:rsidR="00D4499A">
        <w:rPr>
          <w:b w:val="0"/>
          <w:lang w:val="en-US"/>
        </w:rPr>
        <w:t>&lt; </w:t>
      </w:r>
      <w:r w:rsidR="00D4499A" w:rsidRPr="00D4499A">
        <w:rPr>
          <w:b w:val="0"/>
          <w:i/>
          <w:iCs/>
          <w:lang w:val="en-US"/>
        </w:rPr>
        <w:t>f</w:t>
      </w:r>
      <w:r w:rsidR="00D4499A">
        <w:rPr>
          <w:b w:val="0"/>
          <w:lang w:val="en-US"/>
        </w:rPr>
        <w:t> ≤</w:t>
      </w:r>
      <w:r w:rsidR="00D4499A">
        <w:rPr>
          <w:b w:val="0"/>
        </w:rPr>
        <w:t> </w:t>
      </w:r>
      <w:r w:rsidR="00D4499A">
        <w:rPr>
          <w:b w:val="0"/>
        </w:rPr>
        <w:t>5</w:t>
      </w:r>
      <w:r w:rsidR="00D4499A">
        <w:rPr>
          <w:b w:val="0"/>
          <w:lang w:val="en-US"/>
        </w:rPr>
        <w:t>00</w:t>
      </w:r>
      <w:r w:rsidR="00D4499A">
        <w:rPr>
          <w:b w:val="0"/>
        </w:rPr>
        <w:t> Гц</w:t>
      </w:r>
      <w:r w:rsidR="00D4499A">
        <w:rPr>
          <w:b w:val="0"/>
        </w:rPr>
        <w:t>, 50</w:t>
      </w:r>
      <w:r w:rsidR="00D4499A">
        <w:rPr>
          <w:b w:val="0"/>
          <w:lang w:val="ru-RU"/>
        </w:rPr>
        <w:t xml:space="preserve"> </w:t>
      </w:r>
      <w:r w:rsidR="00D4499A" w:rsidRPr="00D4499A">
        <w:rPr>
          <w:b w:val="0"/>
        </w:rPr>
        <w:t>Гц</w:t>
      </w:r>
      <w:r w:rsidR="00D4499A">
        <w:rPr>
          <w:b w:val="0"/>
        </w:rPr>
        <w:t xml:space="preserve"> при </w:t>
      </w:r>
      <w:r w:rsidR="00D4499A">
        <w:rPr>
          <w:b w:val="0"/>
        </w:rPr>
        <w:t>50</w:t>
      </w:r>
      <w:r w:rsidR="00D4499A">
        <w:rPr>
          <w:b w:val="0"/>
        </w:rPr>
        <w:t>0 Гц </w:t>
      </w:r>
      <w:r w:rsidR="00D4499A">
        <w:rPr>
          <w:b w:val="0"/>
          <w:lang w:val="en-US"/>
        </w:rPr>
        <w:t>&lt; </w:t>
      </w:r>
      <w:r w:rsidR="00D4499A" w:rsidRPr="00D4499A">
        <w:rPr>
          <w:b w:val="0"/>
          <w:i/>
          <w:iCs/>
          <w:lang w:val="en-US"/>
        </w:rPr>
        <w:t>f</w:t>
      </w:r>
      <w:r w:rsidR="0070177E">
        <w:rPr>
          <w:b w:val="0"/>
        </w:rPr>
        <w:t>. Можливість подібного підходу пов’язана з тим, що у подвійному логарифмічному масштабі АЧХ складається з декількох прямолінійних ділянок.</w:t>
      </w:r>
      <w:r w:rsidR="00D4499A">
        <w:rPr>
          <w:b w:val="0"/>
        </w:rPr>
        <w:t xml:space="preserve"> Зменшений таким чином набір ознак складався з </w:t>
      </w:r>
      <w:r w:rsidR="00D4499A" w:rsidRPr="00D4499A">
        <w:rPr>
          <w:b w:val="0"/>
        </w:rPr>
        <w:t>144</w:t>
      </w:r>
      <w:r w:rsidR="00D4499A">
        <w:rPr>
          <w:b w:val="0"/>
        </w:rPr>
        <w:t> </w:t>
      </w:r>
      <w:r w:rsidR="00D4499A" w:rsidRPr="00D4499A">
        <w:rPr>
          <w:b w:val="0"/>
        </w:rPr>
        <w:t>144</w:t>
      </w:r>
      <w:r w:rsidR="00D4499A">
        <w:rPr>
          <w:b w:val="0"/>
        </w:rPr>
        <w:t xml:space="preserve"> чисел, розділених на тренувальний та тестовий набір у пропорції 80:20.</w:t>
      </w:r>
    </w:p>
    <w:p w14:paraId="08EF217F" w14:textId="7F1E08E4" w:rsidR="007F20E3" w:rsidRPr="004D274C" w:rsidRDefault="00286033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ГНМ були імплементовані на мові </w:t>
      </w:r>
      <w:r>
        <w:rPr>
          <w:b w:val="0"/>
          <w:lang w:val="en-US"/>
        </w:rPr>
        <w:t xml:space="preserve">Pyton </w:t>
      </w:r>
      <w:r>
        <w:rPr>
          <w:b w:val="0"/>
        </w:rPr>
        <w:t xml:space="preserve">з використанням пакету </w:t>
      </w:r>
      <w:r>
        <w:rPr>
          <w:b w:val="0"/>
          <w:lang w:val="en-US"/>
        </w:rPr>
        <w:t>Keras</w:t>
      </w:r>
      <w:r>
        <w:rPr>
          <w:b w:val="0"/>
        </w:rPr>
        <w:t>. Використані гіперпараметри наведені в Табл.1. Всього було розглянуто 4 мережі, які відрізнялися конфігурацією прихованих шарів та кількістю вузлів</w:t>
      </w:r>
      <w:r w:rsidR="004D274C">
        <w:rPr>
          <w:b w:val="0"/>
        </w:rPr>
        <w:t xml:space="preserve">: </w:t>
      </w:r>
      <w:r w:rsidR="004D274C">
        <w:rPr>
          <w:b w:val="0"/>
          <w:lang w:val="en-US"/>
        </w:rPr>
        <w:t>[4, 100, 90, 80, 70, 60, 50, 1] (</w:t>
      </w:r>
      <w:r w:rsidR="004D274C">
        <w:rPr>
          <w:b w:val="0"/>
        </w:rPr>
        <w:t xml:space="preserve">надалі позначатиметься </w:t>
      </w:r>
      <w:r w:rsidR="004D274C">
        <w:rPr>
          <w:b w:val="0"/>
          <w:lang w:val="en-US"/>
        </w:rPr>
        <w:t xml:space="preserve">T100), </w:t>
      </w:r>
      <w:r w:rsidR="004D274C">
        <w:rPr>
          <w:b w:val="0"/>
          <w:lang w:val="en-US"/>
        </w:rPr>
        <w:t xml:space="preserve">[4, </w:t>
      </w:r>
      <w:r w:rsidR="004D274C">
        <w:rPr>
          <w:b w:val="0"/>
          <w:lang w:val="en-US"/>
        </w:rPr>
        <w:t>50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45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40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35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30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2</w:t>
      </w:r>
      <w:r w:rsidR="004D274C">
        <w:rPr>
          <w:b w:val="0"/>
          <w:lang w:val="en-US"/>
        </w:rPr>
        <w:t>5, 1] (T</w:t>
      </w:r>
      <w:r w:rsidR="004D274C">
        <w:rPr>
          <w:b w:val="0"/>
          <w:lang w:val="en-US"/>
        </w:rPr>
        <w:t>50</w:t>
      </w:r>
      <w:r w:rsidR="004D274C">
        <w:rPr>
          <w:b w:val="0"/>
          <w:lang w:val="en-US"/>
        </w:rPr>
        <w:t>),</w:t>
      </w:r>
      <w:r w:rsidR="004D274C">
        <w:rPr>
          <w:b w:val="0"/>
          <w:lang w:val="en-US"/>
        </w:rPr>
        <w:t xml:space="preserve"> </w:t>
      </w:r>
      <w:r w:rsidR="004D274C">
        <w:rPr>
          <w:b w:val="0"/>
          <w:lang w:val="en-US"/>
        </w:rPr>
        <w:t xml:space="preserve">[4,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  <w:lang w:val="en-US"/>
        </w:rPr>
        <w:t>100</w:t>
      </w:r>
      <w:r w:rsidR="004D274C">
        <w:rPr>
          <w:b w:val="0"/>
          <w:lang w:val="en-US"/>
        </w:rPr>
        <w:t>, 1] (</w:t>
      </w:r>
      <w:r w:rsidR="004D274C">
        <w:rPr>
          <w:b w:val="0"/>
          <w:lang w:val="en-US"/>
        </w:rPr>
        <w:t>P100)</w:t>
      </w:r>
      <w:r w:rsidR="004D274C">
        <w:rPr>
          <w:b w:val="0"/>
        </w:rPr>
        <w:t xml:space="preserve"> та </w:t>
      </w:r>
      <w:r w:rsidR="004D274C">
        <w:rPr>
          <w:b w:val="0"/>
          <w:lang w:val="en-US"/>
        </w:rPr>
        <w:t>[4, 50, 5</w:t>
      </w:r>
      <w:r w:rsidR="004D274C">
        <w:rPr>
          <w:b w:val="0"/>
        </w:rPr>
        <w:t>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</w:rPr>
        <w:t>5</w:t>
      </w:r>
      <w:r w:rsidR="004D274C">
        <w:rPr>
          <w:b w:val="0"/>
          <w:lang w:val="en-US"/>
        </w:rPr>
        <w:t>0, 5</w:t>
      </w:r>
      <w:r w:rsidR="004D274C">
        <w:rPr>
          <w:b w:val="0"/>
        </w:rPr>
        <w:t>0</w:t>
      </w:r>
      <w:r w:rsidR="004D274C">
        <w:rPr>
          <w:b w:val="0"/>
          <w:lang w:val="en-US"/>
        </w:rPr>
        <w:t xml:space="preserve">, </w:t>
      </w:r>
      <w:r w:rsidR="004D274C">
        <w:rPr>
          <w:b w:val="0"/>
        </w:rPr>
        <w:t>5</w:t>
      </w:r>
      <w:r w:rsidR="004D274C">
        <w:rPr>
          <w:b w:val="0"/>
          <w:lang w:val="en-US"/>
        </w:rPr>
        <w:t>0, 5</w:t>
      </w:r>
      <w:r w:rsidR="004D274C">
        <w:rPr>
          <w:b w:val="0"/>
        </w:rPr>
        <w:t>0</w:t>
      </w:r>
      <w:r w:rsidR="004D274C">
        <w:rPr>
          <w:b w:val="0"/>
          <w:lang w:val="en-US"/>
        </w:rPr>
        <w:t>, 1] (</w:t>
      </w:r>
      <w:r w:rsidR="004D274C">
        <w:rPr>
          <w:b w:val="0"/>
        </w:rPr>
        <w:t>Р</w:t>
      </w:r>
      <w:r w:rsidR="004D274C">
        <w:rPr>
          <w:b w:val="0"/>
          <w:lang w:val="en-US"/>
        </w:rPr>
        <w:t>50)</w:t>
      </w:r>
      <w:r>
        <w:rPr>
          <w:b w:val="0"/>
        </w:rPr>
        <w:t>.</w:t>
      </w:r>
      <w:r w:rsidR="004D274C">
        <w:rPr>
          <w:b w:val="0"/>
          <w:lang w:val="en-US"/>
        </w:rPr>
        <w:t xml:space="preserve"> </w:t>
      </w:r>
      <w:r w:rsidR="005E230F">
        <w:rPr>
          <w:b w:val="0"/>
          <w:lang w:val="en-US"/>
        </w:rPr>
        <w:t xml:space="preserve"> </w:t>
      </w:r>
      <w:r w:rsidR="004D274C">
        <w:rPr>
          <w:b w:val="0"/>
        </w:rPr>
        <w:t>Окремі числа відповідають кількості вузлів у послідовних шарах і відображають той факт, що ГНМ використовувати чотири дескриптори і орієнтувалися на регресійне передбачення однієї величини</w:t>
      </w:r>
      <w:r w:rsidR="00475D1D">
        <w:rPr>
          <w:b w:val="0"/>
        </w:rPr>
        <w:t>. Тренування здійснювалося протягом 500 епох, при цьому для оцінки повторюваності використовувалася 5-кратна крос-валідація.</w:t>
      </w:r>
    </w:p>
    <w:p w14:paraId="40400F0E" w14:textId="77777777" w:rsidR="003A7AE0" w:rsidRDefault="003A7AE0" w:rsidP="003112BA">
      <w:pPr>
        <w:spacing w:line="312" w:lineRule="auto"/>
        <w:ind w:firstLine="567"/>
        <w:jc w:val="both"/>
        <w:rPr>
          <w:b w:val="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A7AE0" w14:paraId="49050D7A" w14:textId="77777777" w:rsidTr="003A7AE0">
        <w:tc>
          <w:tcPr>
            <w:tcW w:w="9627" w:type="dxa"/>
            <w:gridSpan w:val="2"/>
            <w:tcBorders>
              <w:top w:val="nil"/>
              <w:left w:val="nil"/>
              <w:right w:val="nil"/>
            </w:tcBorders>
          </w:tcPr>
          <w:p w14:paraId="24576D33" w14:textId="315329BC" w:rsidR="003A7AE0" w:rsidRPr="003A7AE0" w:rsidRDefault="003A7AE0" w:rsidP="003A7AE0">
            <w:pPr>
              <w:spacing w:line="312" w:lineRule="auto"/>
              <w:jc w:val="both"/>
              <w:rPr>
                <w:b w:val="0"/>
              </w:rPr>
            </w:pPr>
            <w:r>
              <w:rPr>
                <w:b w:val="0"/>
                <w:lang w:val="ru-RU"/>
              </w:rPr>
              <w:t xml:space="preserve">Табл.1 Значення </w:t>
            </w:r>
            <w:r>
              <w:rPr>
                <w:b w:val="0"/>
              </w:rPr>
              <w:t>гіперпараметрів, використаних при побудові ГНМ</w:t>
            </w:r>
          </w:p>
        </w:tc>
      </w:tr>
      <w:tr w:rsidR="003A7AE0" w14:paraId="34A8C5AC" w14:textId="77777777" w:rsidTr="003A7AE0">
        <w:tc>
          <w:tcPr>
            <w:tcW w:w="4813" w:type="dxa"/>
          </w:tcPr>
          <w:p w14:paraId="61E2D3E4" w14:textId="58547C0A" w:rsidR="003A7AE0" w:rsidRDefault="003A7AE0" w:rsidP="003A7AE0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Гіперпараметр</w:t>
            </w:r>
          </w:p>
        </w:tc>
        <w:tc>
          <w:tcPr>
            <w:tcW w:w="4814" w:type="dxa"/>
          </w:tcPr>
          <w:p w14:paraId="55E7B21C" w14:textId="03B8BC58" w:rsidR="003A7AE0" w:rsidRDefault="003A7AE0" w:rsidP="003A7AE0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Значення</w:t>
            </w:r>
          </w:p>
        </w:tc>
      </w:tr>
      <w:tr w:rsidR="003A7AE0" w14:paraId="05719C0A" w14:textId="77777777" w:rsidTr="003A7AE0">
        <w:tc>
          <w:tcPr>
            <w:tcW w:w="4813" w:type="dxa"/>
          </w:tcPr>
          <w:p w14:paraId="49B427BB" w14:textId="7C726CDB" w:rsidR="003A7AE0" w:rsidRPr="003A7AE0" w:rsidRDefault="003A7AE0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Batch size</w:t>
            </w:r>
          </w:p>
        </w:tc>
        <w:tc>
          <w:tcPr>
            <w:tcW w:w="4814" w:type="dxa"/>
          </w:tcPr>
          <w:p w14:paraId="1F651F61" w14:textId="685792FE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3A7AE0" w14:paraId="53AF1EE5" w14:textId="77777777" w:rsidTr="003A7AE0">
        <w:tc>
          <w:tcPr>
            <w:tcW w:w="4813" w:type="dxa"/>
          </w:tcPr>
          <w:p w14:paraId="727BF044" w14:textId="6B3FD8C4" w:rsidR="003A7AE0" w:rsidRPr="003A7AE0" w:rsidRDefault="003A7AE0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Activation function</w:t>
            </w:r>
          </w:p>
        </w:tc>
        <w:tc>
          <w:tcPr>
            <w:tcW w:w="4814" w:type="dxa"/>
          </w:tcPr>
          <w:p w14:paraId="17BD493B" w14:textId="104D2661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 w:rsidRPr="00DB099A">
              <w:rPr>
                <w:b w:val="0"/>
              </w:rPr>
              <w:t>sigmoid</w:t>
            </w:r>
          </w:p>
        </w:tc>
      </w:tr>
      <w:tr w:rsidR="003A7AE0" w14:paraId="59B03BB4" w14:textId="77777777" w:rsidTr="003A7AE0">
        <w:tc>
          <w:tcPr>
            <w:tcW w:w="4813" w:type="dxa"/>
          </w:tcPr>
          <w:p w14:paraId="00411575" w14:textId="1CB2A94C" w:rsidR="003A7AE0" w:rsidRPr="003A7AE0" w:rsidRDefault="003A7AE0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Optimizer</w:t>
            </w:r>
          </w:p>
        </w:tc>
        <w:tc>
          <w:tcPr>
            <w:tcW w:w="4814" w:type="dxa"/>
          </w:tcPr>
          <w:p w14:paraId="5BE0C9F2" w14:textId="7C76DB65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 w:rsidRPr="00DB099A">
              <w:rPr>
                <w:b w:val="0"/>
              </w:rPr>
              <w:t>Adamax</w:t>
            </w:r>
          </w:p>
        </w:tc>
      </w:tr>
      <w:tr w:rsidR="003A7AE0" w14:paraId="61EB6FE5" w14:textId="77777777" w:rsidTr="003A7AE0">
        <w:tc>
          <w:tcPr>
            <w:tcW w:w="4813" w:type="dxa"/>
          </w:tcPr>
          <w:p w14:paraId="58EF5B1B" w14:textId="0726C1B0" w:rsidR="003A7AE0" w:rsidRPr="003A7AE0" w:rsidRDefault="003A7AE0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Leaning rate</w:t>
            </w:r>
          </w:p>
        </w:tc>
        <w:tc>
          <w:tcPr>
            <w:tcW w:w="4814" w:type="dxa"/>
          </w:tcPr>
          <w:p w14:paraId="7186F82B" w14:textId="22B703C5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>
              <w:rPr>
                <w:b w:val="0"/>
              </w:rPr>
              <w:t>0,01</w:t>
            </w:r>
          </w:p>
        </w:tc>
      </w:tr>
      <w:tr w:rsidR="003A7AE0" w14:paraId="059C2A21" w14:textId="77777777" w:rsidTr="003A7AE0">
        <w:tc>
          <w:tcPr>
            <w:tcW w:w="4813" w:type="dxa"/>
          </w:tcPr>
          <w:p w14:paraId="12085D58" w14:textId="4D5FB36E" w:rsidR="003A7AE0" w:rsidRPr="003A7AE0" w:rsidRDefault="003A7AE0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Weight initializer</w:t>
            </w:r>
          </w:p>
        </w:tc>
        <w:tc>
          <w:tcPr>
            <w:tcW w:w="4814" w:type="dxa"/>
          </w:tcPr>
          <w:p w14:paraId="65F1BAE7" w14:textId="118E3681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 w:rsidRPr="00DB099A">
              <w:rPr>
                <w:b w:val="0"/>
              </w:rPr>
              <w:t>HeNormal</w:t>
            </w:r>
          </w:p>
        </w:tc>
      </w:tr>
      <w:tr w:rsidR="003A7AE0" w14:paraId="0D8653FD" w14:textId="77777777" w:rsidTr="003A7AE0">
        <w:tc>
          <w:tcPr>
            <w:tcW w:w="4813" w:type="dxa"/>
          </w:tcPr>
          <w:p w14:paraId="5308F147" w14:textId="7C39F710" w:rsidR="003A7AE0" w:rsidRDefault="00DB099A" w:rsidP="003A7AE0">
            <w:pPr>
              <w:spacing w:line="312" w:lineRule="auto"/>
              <w:jc w:val="both"/>
              <w:rPr>
                <w:b w:val="0"/>
              </w:rPr>
            </w:pPr>
            <w:r w:rsidRPr="00DB099A">
              <w:rPr>
                <w:b w:val="0"/>
              </w:rPr>
              <w:t>Dropout</w:t>
            </w:r>
          </w:p>
        </w:tc>
        <w:tc>
          <w:tcPr>
            <w:tcW w:w="4814" w:type="dxa"/>
          </w:tcPr>
          <w:p w14:paraId="191D20F7" w14:textId="15D3307A" w:rsidR="003A7AE0" w:rsidRPr="00DB099A" w:rsidRDefault="00DB099A" w:rsidP="003A7AE0">
            <w:pPr>
              <w:spacing w:line="312" w:lineRule="auto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False</w:t>
            </w:r>
          </w:p>
        </w:tc>
      </w:tr>
    </w:tbl>
    <w:p w14:paraId="13CC9F16" w14:textId="77777777" w:rsidR="003A7AE0" w:rsidRDefault="003A7AE0" w:rsidP="003A7AE0">
      <w:pPr>
        <w:spacing w:line="312" w:lineRule="auto"/>
        <w:jc w:val="both"/>
        <w:rPr>
          <w:b w:val="0"/>
        </w:rPr>
      </w:pPr>
    </w:p>
    <w:p w14:paraId="21286322" w14:textId="390C3BBE" w:rsidR="00D4499A" w:rsidRPr="00475D1D" w:rsidRDefault="00475D1D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>Для оцінювання якості передбачень використовувалися середня квадратична похибка (</w:t>
      </w:r>
      <w:r>
        <w:rPr>
          <w:b w:val="0"/>
          <w:lang w:val="en-US"/>
        </w:rPr>
        <w:t>mean squared error, MSE</w:t>
      </w:r>
      <w:r>
        <w:rPr>
          <w:b w:val="0"/>
        </w:rPr>
        <w:t>)</w:t>
      </w:r>
      <w:r>
        <w:rPr>
          <w:b w:val="0"/>
          <w:lang w:val="en-US"/>
        </w:rPr>
        <w:t xml:space="preserve">, </w:t>
      </w:r>
      <w:r>
        <w:rPr>
          <w:b w:val="0"/>
          <w:lang w:val="ru-RU"/>
        </w:rPr>
        <w:t>середня в</w:t>
      </w:r>
      <w:r>
        <w:rPr>
          <w:b w:val="0"/>
        </w:rPr>
        <w:t>і</w:t>
      </w:r>
      <w:r>
        <w:rPr>
          <w:b w:val="0"/>
          <w:lang w:val="ru-RU"/>
        </w:rPr>
        <w:t xml:space="preserve">дносна похибка </w:t>
      </w:r>
      <w:r w:rsidR="00BC530E">
        <w:rPr>
          <w:b w:val="0"/>
          <w:lang w:val="en-US"/>
        </w:rPr>
        <w:t xml:space="preserve">(mean absolute percentage error, MAPE) </w:t>
      </w:r>
      <w:r w:rsidR="00BC530E">
        <w:rPr>
          <w:b w:val="0"/>
        </w:rPr>
        <w:t xml:space="preserve">та </w:t>
      </w:r>
      <w:r>
        <w:rPr>
          <w:b w:val="0"/>
        </w:rPr>
        <w:t xml:space="preserve">коефіцієнт детермінації </w:t>
      </w:r>
      <w:r w:rsidR="00BC530E">
        <w:rPr>
          <w:b w:val="0"/>
        </w:rPr>
        <w:t>(</w:t>
      </w:r>
      <w:r>
        <w:rPr>
          <w:b w:val="0"/>
          <w:lang w:val="en-US"/>
        </w:rPr>
        <w:t>R</w:t>
      </w:r>
      <w:r w:rsidRPr="00475D1D">
        <w:rPr>
          <w:b w:val="0"/>
          <w:vertAlign w:val="superscript"/>
          <w:lang w:val="en-US"/>
        </w:rPr>
        <w:t>2</w:t>
      </w:r>
      <w:r w:rsidR="00BC530E" w:rsidRPr="00BC530E">
        <w:rPr>
          <w:b w:val="0"/>
        </w:rPr>
        <w:t>)</w:t>
      </w:r>
      <w:r>
        <w:rPr>
          <w:b w:val="0"/>
        </w:rPr>
        <w:t>.</w:t>
      </w:r>
    </w:p>
    <w:p w14:paraId="50AB15F9" w14:textId="142CF861" w:rsidR="00D4499A" w:rsidRPr="00051EEB" w:rsidRDefault="001E475E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На рис.1 приведені результати передбачень мережі Т100 на тренувальному та тестовому наборах. Для </w:t>
      </w:r>
      <w:r w:rsidRPr="00051EEB">
        <w:rPr>
          <w:b w:val="0"/>
        </w:rPr>
        <w:t>інших мереж візуально результати схожі і тому при порівнянні їхньої точності доречно звернутися до значень метрик, представлених у Табл.2.</w:t>
      </w:r>
      <w:r w:rsidR="00051EEB" w:rsidRPr="00051EEB">
        <w:rPr>
          <w:b w:val="0"/>
        </w:rPr>
        <w:t xml:space="preserve"> Як видно з наведених даних, не існує однозначного взаємозв’язку </w:t>
      </w:r>
      <w:r w:rsidR="00051EEB">
        <w:rPr>
          <w:b w:val="0"/>
        </w:rPr>
        <w:t>між кількістю параметрів та точністю передбачень, значну роль відіграє також архітектура шарів. Зокрема, для нашого випадку найкращі метрикові показники має мережа Т100.</w:t>
      </w:r>
    </w:p>
    <w:p w14:paraId="2A004169" w14:textId="77777777" w:rsidR="005E230F" w:rsidRPr="005E230F" w:rsidRDefault="005E230F" w:rsidP="003112BA">
      <w:pPr>
        <w:spacing w:line="312" w:lineRule="auto"/>
        <w:ind w:firstLine="567"/>
        <w:jc w:val="both"/>
        <w:rPr>
          <w:b w:val="0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1E475E" w14:paraId="58E5FB1D" w14:textId="77777777" w:rsidTr="00F9582C">
        <w:tc>
          <w:tcPr>
            <w:tcW w:w="4813" w:type="dxa"/>
          </w:tcPr>
          <w:p w14:paraId="6D3A7FEC" w14:textId="4DB39D7B" w:rsidR="001E475E" w:rsidRDefault="001E475E" w:rsidP="00F9582C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7EAD67EC" wp14:editId="0E0F3C7A">
                  <wp:extent cx="2700000" cy="2086427"/>
                  <wp:effectExtent l="0" t="0" r="5715" b="0"/>
                  <wp:docPr id="1869913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13006" name="Рисунок 18699130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4A63DD" w14:textId="4C342C33" w:rsidR="001E475E" w:rsidRDefault="001E475E" w:rsidP="00F9582C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08906E9B" wp14:editId="64778340">
                  <wp:extent cx="2700000" cy="2086427"/>
                  <wp:effectExtent l="0" t="0" r="5715" b="0"/>
                  <wp:docPr id="20781166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116621" name="Рисунок 207811662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75E" w14:paraId="58CCFB60" w14:textId="77777777" w:rsidTr="00F9582C">
        <w:tc>
          <w:tcPr>
            <w:tcW w:w="9627" w:type="dxa"/>
            <w:gridSpan w:val="2"/>
          </w:tcPr>
          <w:p w14:paraId="09DF5BAF" w14:textId="6CAB54E2" w:rsidR="001E475E" w:rsidRDefault="001E475E" w:rsidP="00F9582C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</w:t>
            </w:r>
            <w:r>
              <w:rPr>
                <w:b w:val="0"/>
                <w:bCs/>
              </w:rPr>
              <w:t>1</w:t>
            </w:r>
            <w:r>
              <w:rPr>
                <w:b w:val="0"/>
                <w:bCs/>
              </w:rPr>
              <w:t xml:space="preserve">. Діаграми розсіювання, що порівнюють </w:t>
            </w:r>
            <w:r>
              <w:rPr>
                <w:b w:val="0"/>
                <w:bCs/>
              </w:rPr>
              <w:t xml:space="preserve">істинні та передбаченні значення ФА напруги для тренувального (а) та тестового наборів (б). Мережа Т100. </w:t>
            </w:r>
            <w:r>
              <w:rPr>
                <w:b w:val="0"/>
                <w:bCs/>
              </w:rPr>
              <w:t>Пунктирні прямі – лінії ідентичності, наведені для зручності.</w:t>
            </w:r>
          </w:p>
        </w:tc>
      </w:tr>
    </w:tbl>
    <w:p w14:paraId="3FA3E5CC" w14:textId="255CB9C6" w:rsidR="00D4499A" w:rsidRDefault="00D4499A" w:rsidP="003112BA">
      <w:pPr>
        <w:spacing w:line="312" w:lineRule="auto"/>
        <w:ind w:firstLine="567"/>
        <w:jc w:val="both"/>
        <w:rPr>
          <w:b w:val="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1560"/>
        <w:gridCol w:w="1750"/>
        <w:gridCol w:w="1224"/>
      </w:tblGrid>
      <w:tr w:rsidR="004005A5" w14:paraId="70EED919" w14:textId="77777777" w:rsidTr="00D96213">
        <w:tc>
          <w:tcPr>
            <w:tcW w:w="9637" w:type="dxa"/>
            <w:gridSpan w:val="6"/>
            <w:tcBorders>
              <w:top w:val="nil"/>
              <w:left w:val="nil"/>
              <w:right w:val="nil"/>
            </w:tcBorders>
          </w:tcPr>
          <w:p w14:paraId="226AA955" w14:textId="424D004E" w:rsidR="004005A5" w:rsidRDefault="004005A5" w:rsidP="004005A5">
            <w:pPr>
              <w:spacing w:line="312" w:lineRule="auto"/>
              <w:rPr>
                <w:b w:val="0"/>
              </w:rPr>
            </w:pPr>
            <w:r>
              <w:rPr>
                <w:b w:val="0"/>
              </w:rPr>
              <w:t>Табл.2. Метрики використаних ГНМ для тренувального та тестового наборів</w:t>
            </w:r>
          </w:p>
        </w:tc>
      </w:tr>
      <w:tr w:rsidR="004005A5" w14:paraId="26D455DB" w14:textId="77777777" w:rsidTr="00607FBC">
        <w:tc>
          <w:tcPr>
            <w:tcW w:w="3402" w:type="dxa"/>
            <w:gridSpan w:val="2"/>
            <w:vMerge w:val="restart"/>
          </w:tcPr>
          <w:p w14:paraId="6EFD7FB4" w14:textId="77777777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</w:p>
        </w:tc>
        <w:tc>
          <w:tcPr>
            <w:tcW w:w="6235" w:type="dxa"/>
            <w:gridSpan w:val="4"/>
          </w:tcPr>
          <w:p w14:paraId="11F95F93" w14:textId="7F4AADE1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Мережа</w:t>
            </w:r>
          </w:p>
        </w:tc>
      </w:tr>
      <w:tr w:rsidR="004005A5" w14:paraId="34A914A5" w14:textId="77777777" w:rsidTr="00607FBC">
        <w:tc>
          <w:tcPr>
            <w:tcW w:w="3402" w:type="dxa"/>
            <w:gridSpan w:val="2"/>
            <w:vMerge/>
          </w:tcPr>
          <w:p w14:paraId="747C0430" w14:textId="77777777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</w:p>
        </w:tc>
        <w:tc>
          <w:tcPr>
            <w:tcW w:w="1701" w:type="dxa"/>
          </w:tcPr>
          <w:p w14:paraId="6C0B9C8B" w14:textId="0E191D0C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Т100</w:t>
            </w:r>
          </w:p>
        </w:tc>
        <w:tc>
          <w:tcPr>
            <w:tcW w:w="1560" w:type="dxa"/>
          </w:tcPr>
          <w:p w14:paraId="148179E2" w14:textId="28F1E2F4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Т50</w:t>
            </w:r>
          </w:p>
        </w:tc>
        <w:tc>
          <w:tcPr>
            <w:tcW w:w="1750" w:type="dxa"/>
          </w:tcPr>
          <w:p w14:paraId="462D9078" w14:textId="1DB57D6A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Р100</w:t>
            </w:r>
          </w:p>
        </w:tc>
        <w:tc>
          <w:tcPr>
            <w:tcW w:w="1224" w:type="dxa"/>
          </w:tcPr>
          <w:p w14:paraId="5D0C1C5D" w14:textId="52744B89" w:rsidR="004005A5" w:rsidRDefault="004005A5" w:rsidP="004005A5">
            <w:pPr>
              <w:spacing w:line="312" w:lineRule="auto"/>
              <w:jc w:val="center"/>
              <w:rPr>
                <w:b w:val="0"/>
              </w:rPr>
            </w:pPr>
            <w:r>
              <w:rPr>
                <w:b w:val="0"/>
              </w:rPr>
              <w:t>Р50</w:t>
            </w:r>
          </w:p>
        </w:tc>
      </w:tr>
      <w:tr w:rsidR="004005A5" w14:paraId="3F93C4D1" w14:textId="77777777" w:rsidTr="00607FBC">
        <w:tc>
          <w:tcPr>
            <w:tcW w:w="3402" w:type="dxa"/>
            <w:gridSpan w:val="2"/>
            <w:vAlign w:val="center"/>
          </w:tcPr>
          <w:p w14:paraId="6E59D5AC" w14:textId="65555E90" w:rsidR="004005A5" w:rsidRDefault="004005A5" w:rsidP="00607FBC">
            <w:pPr>
              <w:spacing w:line="312" w:lineRule="auto"/>
              <w:rPr>
                <w:b w:val="0"/>
              </w:rPr>
            </w:pPr>
            <w:r>
              <w:rPr>
                <w:b w:val="0"/>
              </w:rPr>
              <w:t>Кількість параметрів</w:t>
            </w:r>
          </w:p>
        </w:tc>
        <w:tc>
          <w:tcPr>
            <w:tcW w:w="1701" w:type="dxa"/>
          </w:tcPr>
          <w:p w14:paraId="2413C63C" w14:textId="1872865A" w:rsidR="004005A5" w:rsidRDefault="000A49F1" w:rsidP="000A49F1">
            <w:pPr>
              <w:spacing w:line="312" w:lineRule="auto"/>
              <w:jc w:val="center"/>
              <w:rPr>
                <w:b w:val="0"/>
              </w:rPr>
            </w:pPr>
            <w:r w:rsidRPr="000A49F1">
              <w:rPr>
                <w:b w:val="0"/>
              </w:rPr>
              <w:t>29901</w:t>
            </w:r>
          </w:p>
        </w:tc>
        <w:tc>
          <w:tcPr>
            <w:tcW w:w="1560" w:type="dxa"/>
          </w:tcPr>
          <w:p w14:paraId="25A8BBAC" w14:textId="06132EBF" w:rsidR="004005A5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 w:rsidRPr="000A49F1">
              <w:rPr>
                <w:b w:val="0"/>
              </w:rPr>
              <w:t>7701</w:t>
            </w:r>
          </w:p>
        </w:tc>
        <w:tc>
          <w:tcPr>
            <w:tcW w:w="1750" w:type="dxa"/>
          </w:tcPr>
          <w:p w14:paraId="55348116" w14:textId="5E905902" w:rsidR="004005A5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 w:rsidRPr="000A49F1">
              <w:rPr>
                <w:b w:val="0"/>
              </w:rPr>
              <w:t>51101</w:t>
            </w:r>
          </w:p>
        </w:tc>
        <w:tc>
          <w:tcPr>
            <w:tcW w:w="1224" w:type="dxa"/>
          </w:tcPr>
          <w:p w14:paraId="5A490D65" w14:textId="6DC5FA18" w:rsidR="004005A5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 w:rsidRPr="000A49F1">
              <w:rPr>
                <w:b w:val="0"/>
              </w:rPr>
              <w:t>13051</w:t>
            </w:r>
          </w:p>
        </w:tc>
      </w:tr>
      <w:tr w:rsidR="00607FBC" w14:paraId="28EF6230" w14:textId="77777777" w:rsidTr="00607FBC">
        <w:tc>
          <w:tcPr>
            <w:tcW w:w="1985" w:type="dxa"/>
            <w:vMerge w:val="restart"/>
            <w:vAlign w:val="center"/>
          </w:tcPr>
          <w:p w14:paraId="22F259B3" w14:textId="6150896C" w:rsidR="00607FBC" w:rsidRDefault="00607FBC" w:rsidP="00607FBC">
            <w:pPr>
              <w:spacing w:line="312" w:lineRule="auto"/>
              <w:rPr>
                <w:b w:val="0"/>
              </w:rPr>
            </w:pPr>
            <w:r>
              <w:rPr>
                <w:b w:val="0"/>
              </w:rPr>
              <w:t>Тренувальний набір</w:t>
            </w:r>
          </w:p>
        </w:tc>
        <w:tc>
          <w:tcPr>
            <w:tcW w:w="1417" w:type="dxa"/>
          </w:tcPr>
          <w:p w14:paraId="1BF176AF" w14:textId="78B977BF" w:rsidR="00607FBC" w:rsidRPr="00607FBC" w:rsidRDefault="00607FBC" w:rsidP="00607FBC">
            <w:pPr>
              <w:spacing w:line="312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MSE</w:t>
            </w:r>
            <w:r w:rsidR="000A49F1">
              <w:rPr>
                <w:b w:val="0"/>
                <w:lang w:val="en-US"/>
              </w:rPr>
              <w:t>, 10</w:t>
            </w:r>
            <w:r w:rsidR="000A49F1" w:rsidRPr="000A49F1">
              <w:rPr>
                <w:b w:val="0"/>
                <w:vertAlign w:val="superscript"/>
                <w:lang w:val="en-US"/>
              </w:rPr>
              <w:t>-5</w:t>
            </w:r>
          </w:p>
        </w:tc>
        <w:tc>
          <w:tcPr>
            <w:tcW w:w="1701" w:type="dxa"/>
          </w:tcPr>
          <w:p w14:paraId="4667DE5A" w14:textId="76479AD8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1,44</w:t>
            </w:r>
          </w:p>
        </w:tc>
        <w:tc>
          <w:tcPr>
            <w:tcW w:w="1560" w:type="dxa"/>
          </w:tcPr>
          <w:p w14:paraId="19C9F0A0" w14:textId="250117F1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3,25</w:t>
            </w:r>
          </w:p>
        </w:tc>
        <w:tc>
          <w:tcPr>
            <w:tcW w:w="1750" w:type="dxa"/>
          </w:tcPr>
          <w:p w14:paraId="7320DA00" w14:textId="35930AEE" w:rsidR="00607FBC" w:rsidRPr="00E65DBE" w:rsidRDefault="00E65DBE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2,39</w:t>
            </w:r>
          </w:p>
        </w:tc>
        <w:tc>
          <w:tcPr>
            <w:tcW w:w="1224" w:type="dxa"/>
          </w:tcPr>
          <w:p w14:paraId="4E5834D3" w14:textId="38B87507" w:rsidR="00607FBC" w:rsidRPr="000A49F1" w:rsidRDefault="000A49F1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1,68</w:t>
            </w:r>
          </w:p>
        </w:tc>
      </w:tr>
      <w:tr w:rsidR="00607FBC" w14:paraId="646978CC" w14:textId="77777777" w:rsidTr="00607FBC">
        <w:tc>
          <w:tcPr>
            <w:tcW w:w="1985" w:type="dxa"/>
            <w:vMerge/>
            <w:vAlign w:val="center"/>
          </w:tcPr>
          <w:p w14:paraId="0296959F" w14:textId="77777777" w:rsidR="00607FBC" w:rsidRDefault="00607FBC" w:rsidP="00607FBC">
            <w:pPr>
              <w:spacing w:line="312" w:lineRule="auto"/>
              <w:rPr>
                <w:b w:val="0"/>
              </w:rPr>
            </w:pPr>
          </w:p>
        </w:tc>
        <w:tc>
          <w:tcPr>
            <w:tcW w:w="1417" w:type="dxa"/>
          </w:tcPr>
          <w:p w14:paraId="7FD20F58" w14:textId="6893C417" w:rsidR="00607FBC" w:rsidRPr="00607FBC" w:rsidRDefault="00607FBC" w:rsidP="00607FBC">
            <w:pPr>
              <w:spacing w:line="312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MAPE, %</w:t>
            </w:r>
          </w:p>
        </w:tc>
        <w:tc>
          <w:tcPr>
            <w:tcW w:w="1701" w:type="dxa"/>
          </w:tcPr>
          <w:p w14:paraId="65F6A17E" w14:textId="4A420C68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0.520</w:t>
            </w:r>
          </w:p>
        </w:tc>
        <w:tc>
          <w:tcPr>
            <w:tcW w:w="1560" w:type="dxa"/>
          </w:tcPr>
          <w:p w14:paraId="419E4979" w14:textId="28FBD511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0,851</w:t>
            </w:r>
          </w:p>
        </w:tc>
        <w:tc>
          <w:tcPr>
            <w:tcW w:w="1750" w:type="dxa"/>
          </w:tcPr>
          <w:p w14:paraId="70758A9C" w14:textId="384E5D6D" w:rsidR="00607FBC" w:rsidRPr="00E65DBE" w:rsidRDefault="00E65DBE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0,807</w:t>
            </w:r>
          </w:p>
        </w:tc>
        <w:tc>
          <w:tcPr>
            <w:tcW w:w="1224" w:type="dxa"/>
          </w:tcPr>
          <w:p w14:paraId="685372D6" w14:textId="5AE91459" w:rsidR="00607FBC" w:rsidRPr="000A49F1" w:rsidRDefault="000A49F1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0,610</w:t>
            </w:r>
          </w:p>
        </w:tc>
      </w:tr>
      <w:tr w:rsidR="00607FBC" w14:paraId="6CE95599" w14:textId="77777777" w:rsidTr="00607FBC">
        <w:tc>
          <w:tcPr>
            <w:tcW w:w="1985" w:type="dxa"/>
            <w:vMerge/>
            <w:vAlign w:val="center"/>
          </w:tcPr>
          <w:p w14:paraId="71BC5318" w14:textId="77777777" w:rsidR="00607FBC" w:rsidRDefault="00607FBC" w:rsidP="00607FBC">
            <w:pPr>
              <w:spacing w:line="312" w:lineRule="auto"/>
              <w:rPr>
                <w:b w:val="0"/>
              </w:rPr>
            </w:pPr>
          </w:p>
        </w:tc>
        <w:tc>
          <w:tcPr>
            <w:tcW w:w="1417" w:type="dxa"/>
          </w:tcPr>
          <w:p w14:paraId="60CCBCEC" w14:textId="4B59EBD4" w:rsidR="00607FBC" w:rsidRPr="00607FBC" w:rsidRDefault="00607FBC" w:rsidP="00607FBC">
            <w:pPr>
              <w:spacing w:line="312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</w:t>
            </w:r>
            <w:r w:rsidRPr="00607FBC">
              <w:rPr>
                <w:b w:val="0"/>
                <w:vertAlign w:val="superscript"/>
                <w:lang w:val="en-US"/>
              </w:rPr>
              <w:t>2</w:t>
            </w:r>
          </w:p>
        </w:tc>
        <w:tc>
          <w:tcPr>
            <w:tcW w:w="1701" w:type="dxa"/>
          </w:tcPr>
          <w:p w14:paraId="297897A8" w14:textId="13341E7E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0,9993</w:t>
            </w:r>
          </w:p>
        </w:tc>
        <w:tc>
          <w:tcPr>
            <w:tcW w:w="1560" w:type="dxa"/>
          </w:tcPr>
          <w:p w14:paraId="125ECD6B" w14:textId="4A71947D" w:rsidR="00607FBC" w:rsidRPr="00051EEB" w:rsidRDefault="00051EEB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0,9994</w:t>
            </w:r>
          </w:p>
        </w:tc>
        <w:tc>
          <w:tcPr>
            <w:tcW w:w="1750" w:type="dxa"/>
          </w:tcPr>
          <w:p w14:paraId="59FB3CFD" w14:textId="4B2CDECB" w:rsidR="00607FBC" w:rsidRPr="00E65DBE" w:rsidRDefault="00E65DBE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0,9998</w:t>
            </w:r>
          </w:p>
        </w:tc>
        <w:tc>
          <w:tcPr>
            <w:tcW w:w="1224" w:type="dxa"/>
          </w:tcPr>
          <w:p w14:paraId="165F9BD1" w14:textId="211BEB12" w:rsidR="00607FBC" w:rsidRPr="000A49F1" w:rsidRDefault="000A49F1" w:rsidP="004005A5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0,9997</w:t>
            </w:r>
          </w:p>
        </w:tc>
      </w:tr>
      <w:tr w:rsidR="000A49F1" w14:paraId="44FFD7D8" w14:textId="77777777" w:rsidTr="00607FBC">
        <w:tc>
          <w:tcPr>
            <w:tcW w:w="1985" w:type="dxa"/>
            <w:vMerge w:val="restart"/>
            <w:vAlign w:val="center"/>
          </w:tcPr>
          <w:p w14:paraId="4E85C305" w14:textId="514EF9C5" w:rsidR="000A49F1" w:rsidRDefault="000A49F1" w:rsidP="000A49F1">
            <w:pPr>
              <w:spacing w:line="312" w:lineRule="auto"/>
              <w:rPr>
                <w:b w:val="0"/>
              </w:rPr>
            </w:pPr>
            <w:r>
              <w:rPr>
                <w:b w:val="0"/>
              </w:rPr>
              <w:t>Тестовий набір</w:t>
            </w:r>
          </w:p>
        </w:tc>
        <w:tc>
          <w:tcPr>
            <w:tcW w:w="1417" w:type="dxa"/>
          </w:tcPr>
          <w:p w14:paraId="7C977B24" w14:textId="08E33988" w:rsidR="000A49F1" w:rsidRDefault="000A49F1" w:rsidP="000A49F1">
            <w:pPr>
              <w:spacing w:line="312" w:lineRule="auto"/>
              <w:rPr>
                <w:b w:val="0"/>
              </w:rPr>
            </w:pPr>
            <w:r>
              <w:rPr>
                <w:b w:val="0"/>
                <w:lang w:val="en-US"/>
              </w:rPr>
              <w:t>MSE</w:t>
            </w:r>
            <w:r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10</w:t>
            </w:r>
            <w:r w:rsidRPr="000A49F1">
              <w:rPr>
                <w:b w:val="0"/>
                <w:vertAlign w:val="superscript"/>
                <w:lang w:val="en-US"/>
              </w:rPr>
              <w:t>-5</w:t>
            </w:r>
          </w:p>
        </w:tc>
        <w:tc>
          <w:tcPr>
            <w:tcW w:w="1701" w:type="dxa"/>
          </w:tcPr>
          <w:p w14:paraId="5A5C1C99" w14:textId="4B6B6181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1,44</w:t>
            </w:r>
          </w:p>
        </w:tc>
        <w:tc>
          <w:tcPr>
            <w:tcW w:w="1560" w:type="dxa"/>
          </w:tcPr>
          <w:p w14:paraId="1AC1F1A0" w14:textId="7D39CC8B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3,26</w:t>
            </w:r>
          </w:p>
        </w:tc>
        <w:tc>
          <w:tcPr>
            <w:tcW w:w="1750" w:type="dxa"/>
          </w:tcPr>
          <w:p w14:paraId="1D5F4B03" w14:textId="52798787" w:rsidR="000A49F1" w:rsidRPr="00E65DBE" w:rsidRDefault="00E65DBE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2,49</w:t>
            </w:r>
          </w:p>
        </w:tc>
        <w:tc>
          <w:tcPr>
            <w:tcW w:w="1224" w:type="dxa"/>
          </w:tcPr>
          <w:p w14:paraId="6BCD7B4B" w14:textId="543DD97E" w:rsidR="000A49F1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1,66</w:t>
            </w:r>
          </w:p>
        </w:tc>
      </w:tr>
      <w:tr w:rsidR="000A49F1" w14:paraId="74BA8DBA" w14:textId="77777777" w:rsidTr="00607FBC">
        <w:tc>
          <w:tcPr>
            <w:tcW w:w="1985" w:type="dxa"/>
            <w:vMerge/>
          </w:tcPr>
          <w:p w14:paraId="7F8F4DFC" w14:textId="77777777" w:rsidR="000A49F1" w:rsidRDefault="000A49F1" w:rsidP="000A49F1">
            <w:pPr>
              <w:spacing w:line="312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</w:tcPr>
          <w:p w14:paraId="37AFA659" w14:textId="18648502" w:rsidR="000A49F1" w:rsidRDefault="000A49F1" w:rsidP="000A49F1">
            <w:pPr>
              <w:spacing w:line="312" w:lineRule="auto"/>
              <w:rPr>
                <w:b w:val="0"/>
              </w:rPr>
            </w:pPr>
            <w:r>
              <w:rPr>
                <w:b w:val="0"/>
                <w:lang w:val="en-US"/>
              </w:rPr>
              <w:t>MAPE, %</w:t>
            </w:r>
          </w:p>
        </w:tc>
        <w:tc>
          <w:tcPr>
            <w:tcW w:w="1701" w:type="dxa"/>
          </w:tcPr>
          <w:p w14:paraId="688D6A17" w14:textId="03DD5D30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0,527</w:t>
            </w:r>
          </w:p>
        </w:tc>
        <w:tc>
          <w:tcPr>
            <w:tcW w:w="1560" w:type="dxa"/>
          </w:tcPr>
          <w:p w14:paraId="142BD252" w14:textId="2E1F2F61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0,856</w:t>
            </w:r>
          </w:p>
        </w:tc>
        <w:tc>
          <w:tcPr>
            <w:tcW w:w="1750" w:type="dxa"/>
          </w:tcPr>
          <w:p w14:paraId="70303EB8" w14:textId="2279A009" w:rsidR="000A49F1" w:rsidRPr="00E65DBE" w:rsidRDefault="00E65DBE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0,824</w:t>
            </w:r>
          </w:p>
        </w:tc>
        <w:tc>
          <w:tcPr>
            <w:tcW w:w="1224" w:type="dxa"/>
          </w:tcPr>
          <w:p w14:paraId="05E31C1F" w14:textId="2650C412" w:rsidR="000A49F1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0,616</w:t>
            </w:r>
          </w:p>
        </w:tc>
      </w:tr>
      <w:tr w:rsidR="000A49F1" w14:paraId="5FD8F87E" w14:textId="77777777" w:rsidTr="00607FBC">
        <w:tc>
          <w:tcPr>
            <w:tcW w:w="1985" w:type="dxa"/>
            <w:vMerge/>
          </w:tcPr>
          <w:p w14:paraId="33DC08D0" w14:textId="77777777" w:rsidR="000A49F1" w:rsidRDefault="000A49F1" w:rsidP="000A49F1">
            <w:pPr>
              <w:spacing w:line="312" w:lineRule="auto"/>
              <w:jc w:val="center"/>
              <w:rPr>
                <w:b w:val="0"/>
              </w:rPr>
            </w:pPr>
          </w:p>
        </w:tc>
        <w:tc>
          <w:tcPr>
            <w:tcW w:w="1417" w:type="dxa"/>
          </w:tcPr>
          <w:p w14:paraId="1B4AF14D" w14:textId="634F61AF" w:rsidR="000A49F1" w:rsidRDefault="000A49F1" w:rsidP="000A49F1">
            <w:pPr>
              <w:spacing w:line="312" w:lineRule="auto"/>
              <w:rPr>
                <w:b w:val="0"/>
              </w:rPr>
            </w:pPr>
            <w:r>
              <w:rPr>
                <w:b w:val="0"/>
                <w:lang w:val="en-US"/>
              </w:rPr>
              <w:t>R</w:t>
            </w:r>
            <w:r w:rsidRPr="00607FBC">
              <w:rPr>
                <w:b w:val="0"/>
                <w:vertAlign w:val="superscript"/>
                <w:lang w:val="en-US"/>
              </w:rPr>
              <w:t>2</w:t>
            </w:r>
          </w:p>
        </w:tc>
        <w:tc>
          <w:tcPr>
            <w:tcW w:w="1701" w:type="dxa"/>
          </w:tcPr>
          <w:p w14:paraId="2517D35E" w14:textId="007A14E5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0,9994</w:t>
            </w:r>
          </w:p>
        </w:tc>
        <w:tc>
          <w:tcPr>
            <w:tcW w:w="1560" w:type="dxa"/>
          </w:tcPr>
          <w:p w14:paraId="1E148010" w14:textId="660851DA" w:rsidR="000A49F1" w:rsidRPr="00051EEB" w:rsidRDefault="00051EEB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0,9995</w:t>
            </w:r>
          </w:p>
        </w:tc>
        <w:tc>
          <w:tcPr>
            <w:tcW w:w="1750" w:type="dxa"/>
          </w:tcPr>
          <w:p w14:paraId="1381A129" w14:textId="5687A5E6" w:rsidR="000A49F1" w:rsidRPr="00E65DBE" w:rsidRDefault="00E65DBE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0,9999</w:t>
            </w:r>
          </w:p>
        </w:tc>
        <w:tc>
          <w:tcPr>
            <w:tcW w:w="1224" w:type="dxa"/>
          </w:tcPr>
          <w:p w14:paraId="6F104FF9" w14:textId="59670327" w:rsidR="000A49F1" w:rsidRPr="000A49F1" w:rsidRDefault="000A49F1" w:rsidP="000A49F1">
            <w:pPr>
              <w:spacing w:line="312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0,9997</w:t>
            </w:r>
          </w:p>
        </w:tc>
      </w:tr>
    </w:tbl>
    <w:p w14:paraId="3E59AACB" w14:textId="77777777" w:rsidR="00D4499A" w:rsidRDefault="00D4499A" w:rsidP="003112BA">
      <w:pPr>
        <w:spacing w:line="312" w:lineRule="auto"/>
        <w:ind w:firstLine="567"/>
        <w:jc w:val="both"/>
        <w:rPr>
          <w:b w:val="0"/>
        </w:rPr>
      </w:pPr>
    </w:p>
    <w:p w14:paraId="7D8FA92F" w14:textId="212CD16C" w:rsidR="00051EEB" w:rsidRPr="00C908BC" w:rsidRDefault="00051EEB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Використовуючи натреновані моделі також були відтворені АЧХ структур які раніше моделювалися у пакеті </w:t>
      </w:r>
      <w:r w:rsidRPr="00F52F21">
        <w:rPr>
          <w:b w:val="0"/>
          <w:bCs/>
        </w:rPr>
        <w:t>Comsol</w:t>
      </w:r>
      <w:r>
        <w:rPr>
          <w:b w:val="0"/>
          <w:bCs/>
        </w:rPr>
        <w:t xml:space="preserve">. Так, на Рис.2 представлені результати для </w:t>
      </w:r>
      <w:r w:rsidR="00A4008B">
        <w:rPr>
          <w:b w:val="0"/>
          <w:bCs/>
        </w:rPr>
        <w:t>структури 50/50 при ТС=</w:t>
      </w:r>
      <w:r w:rsidR="00A4008B">
        <w:rPr>
          <w:b w:val="0"/>
        </w:rPr>
        <w:t>0,25 </w:t>
      </w:r>
      <w:r w:rsidR="00A4008B">
        <w:rPr>
          <w:b w:val="0"/>
        </w:rPr>
        <w:t>Вт/мК</w:t>
      </w:r>
      <w:r>
        <w:rPr>
          <w:b w:val="0"/>
          <w:bCs/>
        </w:rPr>
        <w:t xml:space="preserve">. </w:t>
      </w:r>
      <w:r w:rsidR="00C908BC">
        <w:rPr>
          <w:b w:val="0"/>
          <w:bCs/>
        </w:rPr>
        <w:t xml:space="preserve">Видно чудову збіжність результатів. На цьому ж рисунку приведені частотні залежності величини похибки реконструюваних за допомогою різних ГНМ АЧХ для цієї ж структури. За виключенням декількох низьких частот, які не є важливими при практичних вимірюваннях, похибка не перевищує 1%. </w:t>
      </w:r>
      <w:r w:rsidR="00C908BC">
        <w:rPr>
          <w:b w:val="0"/>
          <w:bCs/>
          <w:lang w:val="en-US"/>
        </w:rPr>
        <w:t xml:space="preserve">MAPE </w:t>
      </w:r>
      <w:r w:rsidR="00C908BC">
        <w:rPr>
          <w:b w:val="0"/>
          <w:bCs/>
        </w:rPr>
        <w:t>для даного відтворення складає 0,53% для Т100, 0,98% для Т50, 0,61% для Р100 та 0,32% для Р50.</w:t>
      </w:r>
    </w:p>
    <w:p w14:paraId="12335875" w14:textId="430F5AE3" w:rsidR="00051EEB" w:rsidRDefault="00C908BC" w:rsidP="00C908BC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>На наступному Рис.3 наведено АЧХ, створена за допомогою мережі Т100 для значення теплопровідності, якого не було в тренувальному наборі</w:t>
      </w:r>
      <w:r w:rsidR="00F2610F">
        <w:rPr>
          <w:b w:val="0"/>
        </w:rPr>
        <w:t>, а також АЧХ, розраховані для близьких за величиною ТС. Видно, що характер поведінки АЧХ, отриманої за допомогою ГНМ, відповідає очікуванням.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A4008B" w14:paraId="7DCBAE19" w14:textId="77777777" w:rsidTr="00F9582C">
        <w:tc>
          <w:tcPr>
            <w:tcW w:w="4813" w:type="dxa"/>
          </w:tcPr>
          <w:p w14:paraId="4D6FA1C0" w14:textId="2D2B23BB" w:rsidR="00A4008B" w:rsidRDefault="00A4008B" w:rsidP="00F9582C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6B068889" wp14:editId="5CD0812E">
                  <wp:extent cx="2700000" cy="2086427"/>
                  <wp:effectExtent l="0" t="0" r="5715" b="0"/>
                  <wp:docPr id="13921654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16548" name="Рисунок 13921654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E9D261B" w14:textId="5EF025BC" w:rsidR="00A4008B" w:rsidRDefault="00A4008B" w:rsidP="00F9582C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E483CD" wp14:editId="2041F134">
                  <wp:extent cx="2700000" cy="2086427"/>
                  <wp:effectExtent l="0" t="0" r="5715" b="0"/>
                  <wp:docPr id="28741259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12599" name="Рисунок 28741259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08B" w14:paraId="64E58C4C" w14:textId="77777777" w:rsidTr="00F9582C">
        <w:tc>
          <w:tcPr>
            <w:tcW w:w="9627" w:type="dxa"/>
            <w:gridSpan w:val="2"/>
          </w:tcPr>
          <w:p w14:paraId="09E3028D" w14:textId="51A74B28" w:rsidR="00A4008B" w:rsidRDefault="00A4008B" w:rsidP="00F9582C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</w:t>
            </w:r>
            <w:r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 xml:space="preserve">. </w:t>
            </w:r>
            <w:r>
              <w:rPr>
                <w:b w:val="0"/>
                <w:bCs/>
              </w:rPr>
              <w:t xml:space="preserve">(а) АЧХ двошарової структури з поруватість 50%/50% для </w:t>
            </w:r>
            <w:r>
              <w:rPr>
                <w:b w:val="0"/>
                <w:bCs/>
              </w:rPr>
              <w:t>ТС=</w:t>
            </w:r>
            <w:r>
              <w:rPr>
                <w:b w:val="0"/>
              </w:rPr>
              <w:t>0,25 Вт/мК</w:t>
            </w:r>
            <w:r>
              <w:rPr>
                <w:b w:val="0"/>
              </w:rPr>
              <w:t xml:space="preserve">, розрахована за допомогою </w:t>
            </w:r>
            <w:r w:rsidRPr="00F52F21">
              <w:rPr>
                <w:b w:val="0"/>
                <w:bCs/>
              </w:rPr>
              <w:t>Comsol</w:t>
            </w:r>
            <w:r>
              <w:rPr>
                <w:b w:val="0"/>
                <w:bCs/>
              </w:rPr>
              <w:t xml:space="preserve"> (точка) та відтворена за допомогою ГНМ Т100. (б) Частотна залежність відносної похибки АЧХ, відтворених за допомогою різних ГНМ.</w:t>
            </w:r>
          </w:p>
        </w:tc>
      </w:tr>
    </w:tbl>
    <w:p w14:paraId="4BD35A62" w14:textId="77777777" w:rsidR="00051EEB" w:rsidRDefault="00051EEB" w:rsidP="003112BA">
      <w:pPr>
        <w:spacing w:line="312" w:lineRule="auto"/>
        <w:ind w:firstLine="567"/>
        <w:jc w:val="both"/>
        <w:rPr>
          <w:b w:val="0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C908BC" w14:paraId="246C4E9B" w14:textId="77777777" w:rsidTr="00D809D2">
        <w:tc>
          <w:tcPr>
            <w:tcW w:w="9627" w:type="dxa"/>
          </w:tcPr>
          <w:p w14:paraId="4FF27B2D" w14:textId="1275EDE8" w:rsidR="00C908BC" w:rsidRDefault="00C908BC" w:rsidP="00F9582C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1349002" wp14:editId="4D8D49A5">
                  <wp:extent cx="3600000" cy="2781903"/>
                  <wp:effectExtent l="0" t="0" r="635" b="0"/>
                  <wp:docPr id="170671625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16256" name="Рисунок 17067162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8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8BC" w14:paraId="1171D4BD" w14:textId="77777777" w:rsidTr="00F9582C">
        <w:tc>
          <w:tcPr>
            <w:tcW w:w="9627" w:type="dxa"/>
          </w:tcPr>
          <w:p w14:paraId="6A10614E" w14:textId="0852FC0D" w:rsidR="00C908BC" w:rsidRDefault="00C908BC" w:rsidP="00F9582C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</w:t>
            </w:r>
            <w:r>
              <w:rPr>
                <w:b w:val="0"/>
                <w:bCs/>
              </w:rPr>
              <w:t>3</w:t>
            </w:r>
            <w:r>
              <w:rPr>
                <w:b w:val="0"/>
                <w:bCs/>
              </w:rPr>
              <w:t xml:space="preserve">. АЧХ двошарової структури з поруватість </w:t>
            </w:r>
            <w:r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0%/50% для ТС=</w:t>
            </w:r>
            <w:r>
              <w:rPr>
                <w:b w:val="0"/>
                <w:bCs/>
              </w:rPr>
              <w:t>1</w:t>
            </w:r>
            <w:r>
              <w:rPr>
                <w:b w:val="0"/>
              </w:rPr>
              <w:t>,</w:t>
            </w:r>
            <w:r>
              <w:rPr>
                <w:b w:val="0"/>
              </w:rPr>
              <w:t>0</w:t>
            </w:r>
            <w:r>
              <w:rPr>
                <w:b w:val="0"/>
              </w:rPr>
              <w:t> Вт/мК</w:t>
            </w:r>
            <w:r>
              <w:rPr>
                <w:b w:val="0"/>
              </w:rPr>
              <w:t xml:space="preserve"> (крива 2), </w:t>
            </w:r>
            <w:r>
              <w:rPr>
                <w:b w:val="0"/>
                <w:bCs/>
              </w:rPr>
              <w:t>1</w:t>
            </w:r>
            <w:r>
              <w:rPr>
                <w:b w:val="0"/>
              </w:rPr>
              <w:t>,</w:t>
            </w:r>
            <w:r>
              <w:rPr>
                <w:b w:val="0"/>
              </w:rPr>
              <w:t>1</w:t>
            </w:r>
            <w:r>
              <w:rPr>
                <w:b w:val="0"/>
              </w:rPr>
              <w:t> Вт/мК</w:t>
            </w:r>
            <w:r>
              <w:rPr>
                <w:b w:val="0"/>
              </w:rPr>
              <w:t xml:space="preserve"> (1) та </w:t>
            </w:r>
            <w:r>
              <w:rPr>
                <w:b w:val="0"/>
                <w:bCs/>
              </w:rPr>
              <w:t>1</w:t>
            </w:r>
            <w:r>
              <w:rPr>
                <w:b w:val="0"/>
              </w:rPr>
              <w:t>,</w:t>
            </w:r>
            <w:r>
              <w:rPr>
                <w:b w:val="0"/>
              </w:rPr>
              <w:t>25</w:t>
            </w:r>
            <w:r>
              <w:rPr>
                <w:b w:val="0"/>
              </w:rPr>
              <w:t> Вт/мК</w:t>
            </w:r>
            <w:r>
              <w:rPr>
                <w:b w:val="0"/>
              </w:rPr>
              <w:t xml:space="preserve"> (3). Криві 2 та 3 </w:t>
            </w:r>
            <w:r>
              <w:rPr>
                <w:b w:val="0"/>
              </w:rPr>
              <w:t>розрахован</w:t>
            </w:r>
            <w:r>
              <w:rPr>
                <w:b w:val="0"/>
              </w:rPr>
              <w:t>і</w:t>
            </w:r>
            <w:r>
              <w:rPr>
                <w:b w:val="0"/>
              </w:rPr>
              <w:t xml:space="preserve"> за допомогою </w:t>
            </w:r>
            <w:r w:rsidRPr="00F52F21">
              <w:rPr>
                <w:b w:val="0"/>
                <w:bCs/>
              </w:rPr>
              <w:t>Comsol</w:t>
            </w:r>
            <w:r>
              <w:rPr>
                <w:b w:val="0"/>
                <w:bCs/>
              </w:rPr>
              <w:t xml:space="preserve">, 1 – </w:t>
            </w:r>
            <w:r>
              <w:rPr>
                <w:b w:val="0"/>
                <w:bCs/>
              </w:rPr>
              <w:t>за допомогою ГНМ Т100.</w:t>
            </w:r>
          </w:p>
        </w:tc>
      </w:tr>
    </w:tbl>
    <w:p w14:paraId="41656068" w14:textId="77777777" w:rsidR="00051EEB" w:rsidRDefault="00051EEB" w:rsidP="003112BA">
      <w:pPr>
        <w:spacing w:line="312" w:lineRule="auto"/>
        <w:ind w:firstLine="567"/>
        <w:jc w:val="both"/>
        <w:rPr>
          <w:b w:val="0"/>
        </w:rPr>
      </w:pPr>
    </w:p>
    <w:sectPr w:rsidR="00051EEB" w:rsidSect="00414F76">
      <w:pgSz w:w="11906" w:h="16838"/>
      <w:pgMar w:top="1134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0DF4E" w14:textId="77777777" w:rsidR="00B65BF5" w:rsidRPr="00B10E5E" w:rsidRDefault="00B65BF5">
      <w:r w:rsidRPr="00B10E5E">
        <w:separator/>
      </w:r>
    </w:p>
  </w:endnote>
  <w:endnote w:type="continuationSeparator" w:id="0">
    <w:p w14:paraId="2C039B63" w14:textId="77777777" w:rsidR="00B65BF5" w:rsidRPr="00B10E5E" w:rsidRDefault="00B65BF5">
      <w:r w:rsidRPr="00B10E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TTeb5f0e55.I">
    <w:altName w:val="Cambria"/>
    <w:panose1 w:val="00000000000000000000"/>
    <w:charset w:val="00"/>
    <w:family w:val="roman"/>
    <w:notTrueType/>
    <w:pitch w:val="default"/>
  </w:font>
  <w:font w:name="AdvTTa9c1b374">
    <w:altName w:val="Cambria"/>
    <w:panose1 w:val="00000000000000000000"/>
    <w:charset w:val="00"/>
    <w:family w:val="roman"/>
    <w:notTrueType/>
    <w:pitch w:val="default"/>
  </w:font>
  <w:font w:name="AdvTTa9c1b374+2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20196" w14:textId="77777777" w:rsidR="00B65BF5" w:rsidRPr="00B10E5E" w:rsidRDefault="00B65BF5">
      <w:r w:rsidRPr="00B10E5E">
        <w:separator/>
      </w:r>
    </w:p>
  </w:footnote>
  <w:footnote w:type="continuationSeparator" w:id="0">
    <w:p w14:paraId="3FFA8CFF" w14:textId="77777777" w:rsidR="00B65BF5" w:rsidRPr="00B10E5E" w:rsidRDefault="00B65BF5">
      <w:r w:rsidRPr="00B10E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90B"/>
    <w:multiLevelType w:val="hybridMultilevel"/>
    <w:tmpl w:val="F9D05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681D"/>
    <w:multiLevelType w:val="hybridMultilevel"/>
    <w:tmpl w:val="DFB81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A2E"/>
    <w:multiLevelType w:val="hybridMultilevel"/>
    <w:tmpl w:val="56EC0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F63"/>
    <w:multiLevelType w:val="hybridMultilevel"/>
    <w:tmpl w:val="8034AE6E"/>
    <w:lvl w:ilvl="0" w:tplc="663EBE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F2D6D"/>
    <w:multiLevelType w:val="hybridMultilevel"/>
    <w:tmpl w:val="10DE5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2B8D"/>
    <w:multiLevelType w:val="hybridMultilevel"/>
    <w:tmpl w:val="330243CC"/>
    <w:lvl w:ilvl="0" w:tplc="4D8EBE8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B6FF0"/>
    <w:multiLevelType w:val="hybridMultilevel"/>
    <w:tmpl w:val="8B8C1E6A"/>
    <w:lvl w:ilvl="0" w:tplc="0F6C1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25272"/>
    <w:multiLevelType w:val="hybridMultilevel"/>
    <w:tmpl w:val="7E341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C7A"/>
    <w:multiLevelType w:val="hybridMultilevel"/>
    <w:tmpl w:val="56205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710C"/>
    <w:multiLevelType w:val="hybridMultilevel"/>
    <w:tmpl w:val="A67EC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F6E20"/>
    <w:multiLevelType w:val="hybridMultilevel"/>
    <w:tmpl w:val="26B67B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501E8"/>
    <w:multiLevelType w:val="hybridMultilevel"/>
    <w:tmpl w:val="D44618FE"/>
    <w:lvl w:ilvl="0" w:tplc="50183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5B89"/>
    <w:multiLevelType w:val="hybridMultilevel"/>
    <w:tmpl w:val="D1A40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06F79"/>
    <w:multiLevelType w:val="hybridMultilevel"/>
    <w:tmpl w:val="52ECA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16A81"/>
    <w:multiLevelType w:val="hybridMultilevel"/>
    <w:tmpl w:val="5DCE3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C92"/>
    <w:multiLevelType w:val="hybridMultilevel"/>
    <w:tmpl w:val="89E21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195"/>
    <w:multiLevelType w:val="hybridMultilevel"/>
    <w:tmpl w:val="CA70E7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36F3C"/>
    <w:multiLevelType w:val="hybridMultilevel"/>
    <w:tmpl w:val="A99E8512"/>
    <w:lvl w:ilvl="0" w:tplc="65DE5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254B2"/>
    <w:multiLevelType w:val="hybridMultilevel"/>
    <w:tmpl w:val="F1BC6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11107"/>
    <w:multiLevelType w:val="hybridMultilevel"/>
    <w:tmpl w:val="DD28E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69A3"/>
    <w:multiLevelType w:val="hybridMultilevel"/>
    <w:tmpl w:val="18106402"/>
    <w:lvl w:ilvl="0" w:tplc="15BAFD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083130"/>
    <w:multiLevelType w:val="hybridMultilevel"/>
    <w:tmpl w:val="8A94B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57D4D"/>
    <w:multiLevelType w:val="hybridMultilevel"/>
    <w:tmpl w:val="D90404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4835"/>
    <w:multiLevelType w:val="hybridMultilevel"/>
    <w:tmpl w:val="628AE1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E6509"/>
    <w:multiLevelType w:val="hybridMultilevel"/>
    <w:tmpl w:val="CE460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81024"/>
    <w:multiLevelType w:val="hybridMultilevel"/>
    <w:tmpl w:val="D0DAB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C5E"/>
    <w:multiLevelType w:val="hybridMultilevel"/>
    <w:tmpl w:val="828A5D5A"/>
    <w:lvl w:ilvl="0" w:tplc="5846E032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A793C"/>
    <w:multiLevelType w:val="hybridMultilevel"/>
    <w:tmpl w:val="92F43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913E1"/>
    <w:multiLevelType w:val="hybridMultilevel"/>
    <w:tmpl w:val="C7D25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68F"/>
    <w:multiLevelType w:val="hybridMultilevel"/>
    <w:tmpl w:val="A9D4DD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6459">
    <w:abstractNumId w:val="20"/>
  </w:num>
  <w:num w:numId="2" w16cid:durableId="236064035">
    <w:abstractNumId w:val="8"/>
  </w:num>
  <w:num w:numId="3" w16cid:durableId="1226602313">
    <w:abstractNumId w:val="25"/>
  </w:num>
  <w:num w:numId="4" w16cid:durableId="1383797140">
    <w:abstractNumId w:val="27"/>
  </w:num>
  <w:num w:numId="5" w16cid:durableId="1258177300">
    <w:abstractNumId w:val="0"/>
  </w:num>
  <w:num w:numId="6" w16cid:durableId="843086271">
    <w:abstractNumId w:val="15"/>
  </w:num>
  <w:num w:numId="7" w16cid:durableId="1198279026">
    <w:abstractNumId w:val="12"/>
  </w:num>
  <w:num w:numId="8" w16cid:durableId="1609199981">
    <w:abstractNumId w:val="28"/>
  </w:num>
  <w:num w:numId="9" w16cid:durableId="2028672448">
    <w:abstractNumId w:val="14"/>
  </w:num>
  <w:num w:numId="10" w16cid:durableId="1770200165">
    <w:abstractNumId w:val="2"/>
  </w:num>
  <w:num w:numId="11" w16cid:durableId="1014302998">
    <w:abstractNumId w:val="22"/>
  </w:num>
  <w:num w:numId="12" w16cid:durableId="249387827">
    <w:abstractNumId w:val="21"/>
  </w:num>
  <w:num w:numId="13" w16cid:durableId="1446462795">
    <w:abstractNumId w:val="11"/>
  </w:num>
  <w:num w:numId="14" w16cid:durableId="204294117">
    <w:abstractNumId w:val="7"/>
  </w:num>
  <w:num w:numId="15" w16cid:durableId="1920479381">
    <w:abstractNumId w:val="4"/>
  </w:num>
  <w:num w:numId="16" w16cid:durableId="100103646">
    <w:abstractNumId w:val="6"/>
  </w:num>
  <w:num w:numId="17" w16cid:durableId="1707753045">
    <w:abstractNumId w:val="24"/>
  </w:num>
  <w:num w:numId="18" w16cid:durableId="189027621">
    <w:abstractNumId w:val="1"/>
  </w:num>
  <w:num w:numId="19" w16cid:durableId="1502045203">
    <w:abstractNumId w:val="13"/>
  </w:num>
  <w:num w:numId="20" w16cid:durableId="58092268">
    <w:abstractNumId w:val="23"/>
  </w:num>
  <w:num w:numId="21" w16cid:durableId="1289583135">
    <w:abstractNumId w:val="10"/>
  </w:num>
  <w:num w:numId="22" w16cid:durableId="199710056">
    <w:abstractNumId w:val="26"/>
  </w:num>
  <w:num w:numId="23" w16cid:durableId="1942445258">
    <w:abstractNumId w:val="29"/>
  </w:num>
  <w:num w:numId="24" w16cid:durableId="2107071629">
    <w:abstractNumId w:val="18"/>
  </w:num>
  <w:num w:numId="25" w16cid:durableId="1138063905">
    <w:abstractNumId w:val="19"/>
  </w:num>
  <w:num w:numId="26" w16cid:durableId="617569894">
    <w:abstractNumId w:val="16"/>
  </w:num>
  <w:num w:numId="27" w16cid:durableId="843859483">
    <w:abstractNumId w:val="17"/>
  </w:num>
  <w:num w:numId="28" w16cid:durableId="88936606">
    <w:abstractNumId w:val="9"/>
  </w:num>
  <w:num w:numId="29" w16cid:durableId="1109197554">
    <w:abstractNumId w:val="5"/>
  </w:num>
  <w:num w:numId="30" w16cid:durableId="112600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1"/>
    <w:rsid w:val="00007FAD"/>
    <w:rsid w:val="00014D83"/>
    <w:rsid w:val="0003723A"/>
    <w:rsid w:val="0004150D"/>
    <w:rsid w:val="00051EEB"/>
    <w:rsid w:val="00060FFA"/>
    <w:rsid w:val="0006551C"/>
    <w:rsid w:val="00072A02"/>
    <w:rsid w:val="00074473"/>
    <w:rsid w:val="000921FF"/>
    <w:rsid w:val="00093CD9"/>
    <w:rsid w:val="0009415E"/>
    <w:rsid w:val="000A49F1"/>
    <w:rsid w:val="000E47CA"/>
    <w:rsid w:val="000E6D9E"/>
    <w:rsid w:val="000F0050"/>
    <w:rsid w:val="000F0531"/>
    <w:rsid w:val="00106C31"/>
    <w:rsid w:val="00115953"/>
    <w:rsid w:val="00116846"/>
    <w:rsid w:val="00127129"/>
    <w:rsid w:val="0014343D"/>
    <w:rsid w:val="00145A6E"/>
    <w:rsid w:val="0014748C"/>
    <w:rsid w:val="001627CA"/>
    <w:rsid w:val="001745EC"/>
    <w:rsid w:val="001841F1"/>
    <w:rsid w:val="00186983"/>
    <w:rsid w:val="001900D7"/>
    <w:rsid w:val="00190458"/>
    <w:rsid w:val="00196305"/>
    <w:rsid w:val="001A4022"/>
    <w:rsid w:val="001A5B5E"/>
    <w:rsid w:val="001B44A1"/>
    <w:rsid w:val="001C229E"/>
    <w:rsid w:val="001C7AAC"/>
    <w:rsid w:val="001D058D"/>
    <w:rsid w:val="001D2C29"/>
    <w:rsid w:val="001D4AEF"/>
    <w:rsid w:val="001E475E"/>
    <w:rsid w:val="001E7A0F"/>
    <w:rsid w:val="00230DAA"/>
    <w:rsid w:val="00233984"/>
    <w:rsid w:val="00243DE5"/>
    <w:rsid w:val="002663DA"/>
    <w:rsid w:val="0027545E"/>
    <w:rsid w:val="002760CC"/>
    <w:rsid w:val="0028023E"/>
    <w:rsid w:val="00286033"/>
    <w:rsid w:val="00297AFC"/>
    <w:rsid w:val="002A1B5A"/>
    <w:rsid w:val="002A506B"/>
    <w:rsid w:val="002A77B5"/>
    <w:rsid w:val="002E397F"/>
    <w:rsid w:val="002F44D3"/>
    <w:rsid w:val="002F48E2"/>
    <w:rsid w:val="002F4B18"/>
    <w:rsid w:val="002F7464"/>
    <w:rsid w:val="003023A9"/>
    <w:rsid w:val="003112BA"/>
    <w:rsid w:val="00314ACF"/>
    <w:rsid w:val="00331308"/>
    <w:rsid w:val="0033776E"/>
    <w:rsid w:val="003411A2"/>
    <w:rsid w:val="00346219"/>
    <w:rsid w:val="00373EA0"/>
    <w:rsid w:val="00375053"/>
    <w:rsid w:val="00391702"/>
    <w:rsid w:val="00397ACD"/>
    <w:rsid w:val="003A6B17"/>
    <w:rsid w:val="003A7AE0"/>
    <w:rsid w:val="003C26B5"/>
    <w:rsid w:val="003C5160"/>
    <w:rsid w:val="003C6651"/>
    <w:rsid w:val="003D29DC"/>
    <w:rsid w:val="003F4B97"/>
    <w:rsid w:val="004005A5"/>
    <w:rsid w:val="004013D7"/>
    <w:rsid w:val="0040533F"/>
    <w:rsid w:val="00414F76"/>
    <w:rsid w:val="00435913"/>
    <w:rsid w:val="004404EE"/>
    <w:rsid w:val="00441E73"/>
    <w:rsid w:val="00455FB5"/>
    <w:rsid w:val="0047061A"/>
    <w:rsid w:val="00473EC6"/>
    <w:rsid w:val="00475D1D"/>
    <w:rsid w:val="00480511"/>
    <w:rsid w:val="00485AD9"/>
    <w:rsid w:val="00495B11"/>
    <w:rsid w:val="004B11F1"/>
    <w:rsid w:val="004B1594"/>
    <w:rsid w:val="004B3E4C"/>
    <w:rsid w:val="004D201A"/>
    <w:rsid w:val="004D274C"/>
    <w:rsid w:val="004E4EB7"/>
    <w:rsid w:val="004F43E0"/>
    <w:rsid w:val="00514CEE"/>
    <w:rsid w:val="00514FF3"/>
    <w:rsid w:val="00515E47"/>
    <w:rsid w:val="0052598E"/>
    <w:rsid w:val="00526CE7"/>
    <w:rsid w:val="005353BA"/>
    <w:rsid w:val="00545C0A"/>
    <w:rsid w:val="0055184A"/>
    <w:rsid w:val="00560CEE"/>
    <w:rsid w:val="00584AA2"/>
    <w:rsid w:val="00584C35"/>
    <w:rsid w:val="0058566D"/>
    <w:rsid w:val="00593B7D"/>
    <w:rsid w:val="005A5550"/>
    <w:rsid w:val="005B1BD0"/>
    <w:rsid w:val="005C3605"/>
    <w:rsid w:val="005C6CAD"/>
    <w:rsid w:val="005E230F"/>
    <w:rsid w:val="005E6692"/>
    <w:rsid w:val="00607FBC"/>
    <w:rsid w:val="006142BB"/>
    <w:rsid w:val="00616389"/>
    <w:rsid w:val="006212E7"/>
    <w:rsid w:val="00623077"/>
    <w:rsid w:val="00652CDA"/>
    <w:rsid w:val="006540B3"/>
    <w:rsid w:val="00683BA6"/>
    <w:rsid w:val="006A09D0"/>
    <w:rsid w:val="006B4AA1"/>
    <w:rsid w:val="006B59E8"/>
    <w:rsid w:val="006C4163"/>
    <w:rsid w:val="006D17B8"/>
    <w:rsid w:val="006D4031"/>
    <w:rsid w:val="006E20BF"/>
    <w:rsid w:val="006F4703"/>
    <w:rsid w:val="006F5985"/>
    <w:rsid w:val="0070177E"/>
    <w:rsid w:val="00701EF2"/>
    <w:rsid w:val="00706BAE"/>
    <w:rsid w:val="00725FB4"/>
    <w:rsid w:val="00726241"/>
    <w:rsid w:val="007453E4"/>
    <w:rsid w:val="00746820"/>
    <w:rsid w:val="0076341E"/>
    <w:rsid w:val="00767640"/>
    <w:rsid w:val="00782D34"/>
    <w:rsid w:val="00783F03"/>
    <w:rsid w:val="007908DC"/>
    <w:rsid w:val="00792017"/>
    <w:rsid w:val="00797E64"/>
    <w:rsid w:val="007A1010"/>
    <w:rsid w:val="007B108D"/>
    <w:rsid w:val="007D6FB0"/>
    <w:rsid w:val="007E1226"/>
    <w:rsid w:val="007F0361"/>
    <w:rsid w:val="007F20E3"/>
    <w:rsid w:val="007F4237"/>
    <w:rsid w:val="008029AB"/>
    <w:rsid w:val="008064D3"/>
    <w:rsid w:val="0081762D"/>
    <w:rsid w:val="00834A5E"/>
    <w:rsid w:val="008402E5"/>
    <w:rsid w:val="00840D24"/>
    <w:rsid w:val="00851B41"/>
    <w:rsid w:val="008851E9"/>
    <w:rsid w:val="00892902"/>
    <w:rsid w:val="00893C94"/>
    <w:rsid w:val="008B0127"/>
    <w:rsid w:val="008E111F"/>
    <w:rsid w:val="008E1F5C"/>
    <w:rsid w:val="008E4011"/>
    <w:rsid w:val="008F58CF"/>
    <w:rsid w:val="008F777A"/>
    <w:rsid w:val="00900332"/>
    <w:rsid w:val="0090426E"/>
    <w:rsid w:val="009211EA"/>
    <w:rsid w:val="00931FCF"/>
    <w:rsid w:val="00935153"/>
    <w:rsid w:val="00950CBC"/>
    <w:rsid w:val="00950F17"/>
    <w:rsid w:val="00970D03"/>
    <w:rsid w:val="009836DD"/>
    <w:rsid w:val="00985170"/>
    <w:rsid w:val="009A2B45"/>
    <w:rsid w:val="009B09A7"/>
    <w:rsid w:val="009B15C3"/>
    <w:rsid w:val="009B2617"/>
    <w:rsid w:val="009C0135"/>
    <w:rsid w:val="009C3FD0"/>
    <w:rsid w:val="009D0446"/>
    <w:rsid w:val="009D7E23"/>
    <w:rsid w:val="009E1796"/>
    <w:rsid w:val="009E1A98"/>
    <w:rsid w:val="00A03618"/>
    <w:rsid w:val="00A101E0"/>
    <w:rsid w:val="00A10717"/>
    <w:rsid w:val="00A1133B"/>
    <w:rsid w:val="00A21A19"/>
    <w:rsid w:val="00A24F48"/>
    <w:rsid w:val="00A4008B"/>
    <w:rsid w:val="00A40687"/>
    <w:rsid w:val="00A46BD6"/>
    <w:rsid w:val="00A4769A"/>
    <w:rsid w:val="00A625B9"/>
    <w:rsid w:val="00A6565F"/>
    <w:rsid w:val="00A65D5E"/>
    <w:rsid w:val="00A67FDE"/>
    <w:rsid w:val="00A72DF1"/>
    <w:rsid w:val="00A87B68"/>
    <w:rsid w:val="00A90A5F"/>
    <w:rsid w:val="00A97F71"/>
    <w:rsid w:val="00AA5B3A"/>
    <w:rsid w:val="00AC38BD"/>
    <w:rsid w:val="00AC7C7D"/>
    <w:rsid w:val="00AD10F4"/>
    <w:rsid w:val="00AD2A8F"/>
    <w:rsid w:val="00AD2B7A"/>
    <w:rsid w:val="00AD7BEE"/>
    <w:rsid w:val="00AE72BB"/>
    <w:rsid w:val="00B10E5E"/>
    <w:rsid w:val="00B1656F"/>
    <w:rsid w:val="00B45AD9"/>
    <w:rsid w:val="00B51BE8"/>
    <w:rsid w:val="00B56C12"/>
    <w:rsid w:val="00B57D41"/>
    <w:rsid w:val="00B65BF5"/>
    <w:rsid w:val="00B70D4E"/>
    <w:rsid w:val="00B70F2B"/>
    <w:rsid w:val="00B74DEE"/>
    <w:rsid w:val="00B82BBE"/>
    <w:rsid w:val="00B96371"/>
    <w:rsid w:val="00BC530E"/>
    <w:rsid w:val="00BD237C"/>
    <w:rsid w:val="00BE14BB"/>
    <w:rsid w:val="00BE2DF4"/>
    <w:rsid w:val="00BE6238"/>
    <w:rsid w:val="00BE741E"/>
    <w:rsid w:val="00C11F97"/>
    <w:rsid w:val="00C2629D"/>
    <w:rsid w:val="00C43013"/>
    <w:rsid w:val="00C45719"/>
    <w:rsid w:val="00C5629E"/>
    <w:rsid w:val="00C6017E"/>
    <w:rsid w:val="00C63601"/>
    <w:rsid w:val="00C81212"/>
    <w:rsid w:val="00C908BC"/>
    <w:rsid w:val="00C96D56"/>
    <w:rsid w:val="00CE0B13"/>
    <w:rsid w:val="00CE5EB8"/>
    <w:rsid w:val="00D079B3"/>
    <w:rsid w:val="00D12534"/>
    <w:rsid w:val="00D27B3F"/>
    <w:rsid w:val="00D409DD"/>
    <w:rsid w:val="00D4499A"/>
    <w:rsid w:val="00D534E4"/>
    <w:rsid w:val="00D769E6"/>
    <w:rsid w:val="00DA0C12"/>
    <w:rsid w:val="00DA4B8B"/>
    <w:rsid w:val="00DA61AC"/>
    <w:rsid w:val="00DB099A"/>
    <w:rsid w:val="00DB7516"/>
    <w:rsid w:val="00DB7F0D"/>
    <w:rsid w:val="00DD43C8"/>
    <w:rsid w:val="00DF181B"/>
    <w:rsid w:val="00DF4421"/>
    <w:rsid w:val="00DF4ADE"/>
    <w:rsid w:val="00E03E16"/>
    <w:rsid w:val="00E12B4F"/>
    <w:rsid w:val="00E30C6B"/>
    <w:rsid w:val="00E50DBF"/>
    <w:rsid w:val="00E5292A"/>
    <w:rsid w:val="00E54EBA"/>
    <w:rsid w:val="00E57201"/>
    <w:rsid w:val="00E65DBE"/>
    <w:rsid w:val="00E72D96"/>
    <w:rsid w:val="00E73B84"/>
    <w:rsid w:val="00E76D19"/>
    <w:rsid w:val="00E9190E"/>
    <w:rsid w:val="00EA1DB6"/>
    <w:rsid w:val="00EB792C"/>
    <w:rsid w:val="00EC7A49"/>
    <w:rsid w:val="00ED633C"/>
    <w:rsid w:val="00EE61EF"/>
    <w:rsid w:val="00F2610F"/>
    <w:rsid w:val="00F34E98"/>
    <w:rsid w:val="00F425F5"/>
    <w:rsid w:val="00F50D5C"/>
    <w:rsid w:val="00F52F21"/>
    <w:rsid w:val="00F61622"/>
    <w:rsid w:val="00F63ECC"/>
    <w:rsid w:val="00F65AF7"/>
    <w:rsid w:val="00F80ACB"/>
    <w:rsid w:val="00F81701"/>
    <w:rsid w:val="00FA6CA5"/>
    <w:rsid w:val="00FB2546"/>
    <w:rsid w:val="00FC4FE7"/>
    <w:rsid w:val="00FD652F"/>
    <w:rsid w:val="00FF0FFC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5F54E"/>
  <w15:docId w15:val="{9DB80CE5-2A6D-4877-8986-1869F3C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D9E"/>
    <w:rPr>
      <w:b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81212"/>
    <w:rPr>
      <w:b w:val="0"/>
      <w:sz w:val="20"/>
      <w:szCs w:val="20"/>
    </w:rPr>
  </w:style>
  <w:style w:type="character" w:styleId="a4">
    <w:name w:val="footnote reference"/>
    <w:basedOn w:val="a0"/>
    <w:semiHidden/>
    <w:rsid w:val="00C81212"/>
    <w:rPr>
      <w:vertAlign w:val="superscript"/>
    </w:rPr>
  </w:style>
  <w:style w:type="paragraph" w:styleId="a5">
    <w:name w:val="List Paragraph"/>
    <w:basedOn w:val="a"/>
    <w:uiPriority w:val="34"/>
    <w:qFormat/>
    <w:rsid w:val="00373EA0"/>
    <w:pPr>
      <w:ind w:left="708"/>
    </w:pPr>
  </w:style>
  <w:style w:type="paragraph" w:styleId="a6">
    <w:name w:val="Body Text"/>
    <w:basedOn w:val="a"/>
    <w:link w:val="a7"/>
    <w:uiPriority w:val="1"/>
    <w:qFormat/>
    <w:rsid w:val="0028023E"/>
    <w:pPr>
      <w:widowControl w:val="0"/>
      <w:autoSpaceDE w:val="0"/>
      <w:autoSpaceDN w:val="0"/>
      <w:ind w:left="140"/>
      <w:jc w:val="both"/>
    </w:pPr>
    <w:rPr>
      <w:b w:val="0"/>
      <w:lang w:eastAsia="en-US"/>
    </w:rPr>
  </w:style>
  <w:style w:type="character" w:customStyle="1" w:styleId="a7">
    <w:name w:val="Основний текст Знак"/>
    <w:basedOn w:val="a0"/>
    <w:link w:val="a6"/>
    <w:uiPriority w:val="1"/>
    <w:rsid w:val="0028023E"/>
    <w:rPr>
      <w:sz w:val="28"/>
      <w:szCs w:val="28"/>
      <w:lang w:eastAsia="en-US"/>
    </w:rPr>
  </w:style>
  <w:style w:type="paragraph" w:styleId="2">
    <w:name w:val="Body Text 2"/>
    <w:basedOn w:val="a"/>
    <w:link w:val="20"/>
    <w:semiHidden/>
    <w:unhideWhenUsed/>
    <w:rsid w:val="001627CA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semiHidden/>
    <w:rsid w:val="001627CA"/>
    <w:rPr>
      <w:b/>
      <w:sz w:val="28"/>
      <w:szCs w:val="28"/>
      <w:lang w:val="ru-RU" w:eastAsia="ru-RU"/>
    </w:rPr>
  </w:style>
  <w:style w:type="paragraph" w:styleId="a8">
    <w:name w:val="No Spacing"/>
    <w:uiPriority w:val="1"/>
    <w:qFormat/>
    <w:rsid w:val="001627CA"/>
    <w:rPr>
      <w:lang w:val="ru-RU" w:eastAsia="ru-RU"/>
    </w:rPr>
  </w:style>
  <w:style w:type="paragraph" w:styleId="a9">
    <w:name w:val="Normal (Web)"/>
    <w:basedOn w:val="a"/>
    <w:uiPriority w:val="99"/>
    <w:unhideWhenUsed/>
    <w:rsid w:val="00935153"/>
    <w:pPr>
      <w:spacing w:before="100" w:beforeAutospacing="1" w:after="100" w:afterAutospacing="1"/>
    </w:pPr>
    <w:rPr>
      <w:b w:val="0"/>
      <w:sz w:val="24"/>
      <w:szCs w:val="24"/>
    </w:rPr>
  </w:style>
  <w:style w:type="character" w:styleId="aa">
    <w:name w:val="Emphasis"/>
    <w:uiPriority w:val="20"/>
    <w:qFormat/>
    <w:rsid w:val="00EA1DB6"/>
    <w:rPr>
      <w:i/>
      <w:iCs/>
    </w:rPr>
  </w:style>
  <w:style w:type="character" w:styleId="ab">
    <w:name w:val="Hyperlink"/>
    <w:basedOn w:val="a0"/>
    <w:uiPriority w:val="99"/>
    <w:unhideWhenUsed/>
    <w:rsid w:val="0006551C"/>
    <w:rPr>
      <w:color w:val="0000FF"/>
      <w:u w:val="single"/>
    </w:rPr>
  </w:style>
  <w:style w:type="character" w:customStyle="1" w:styleId="apple-tab-span">
    <w:name w:val="apple-tab-span"/>
    <w:basedOn w:val="a0"/>
    <w:rsid w:val="00782D34"/>
  </w:style>
  <w:style w:type="character" w:customStyle="1" w:styleId="1">
    <w:name w:val="Незакрита згадка1"/>
    <w:basedOn w:val="a0"/>
    <w:uiPriority w:val="99"/>
    <w:semiHidden/>
    <w:unhideWhenUsed/>
    <w:rsid w:val="004B3E4C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B44A1"/>
    <w:rPr>
      <w:b/>
      <w:bCs/>
    </w:rPr>
  </w:style>
  <w:style w:type="paragraph" w:customStyle="1" w:styleId="ConferenceMain">
    <w:name w:val="Conference_Main"/>
    <w:qFormat/>
    <w:rsid w:val="00C6017E"/>
    <w:pPr>
      <w:suppressAutoHyphens/>
      <w:ind w:firstLine="567"/>
      <w:jc w:val="both"/>
    </w:pPr>
    <w:rPr>
      <w:noProof/>
      <w:color w:val="000000"/>
      <w:sz w:val="24"/>
      <w:szCs w:val="22"/>
      <w:lang w:val="en-GB" w:eastAsia="en-US"/>
    </w:rPr>
  </w:style>
  <w:style w:type="table" w:styleId="ad">
    <w:name w:val="Table Grid"/>
    <w:basedOn w:val="a1"/>
    <w:uiPriority w:val="39"/>
    <w:rsid w:val="00A1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blio-title">
    <w:name w:val="biblio-title"/>
    <w:basedOn w:val="a0"/>
    <w:rsid w:val="00C45719"/>
  </w:style>
  <w:style w:type="character" w:customStyle="1" w:styleId="fontstyle01">
    <w:name w:val="fontstyle01"/>
    <w:basedOn w:val="a0"/>
    <w:rsid w:val="00243DE5"/>
    <w:rPr>
      <w:rFonts w:ascii="AdvTTeb5f0e55.I" w:hAnsi="AdvTTeb5f0e55.I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243DE5"/>
    <w:rPr>
      <w:rFonts w:ascii="AdvTTa9c1b374" w:hAnsi="AdvTTa9c1b374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243DE5"/>
    <w:rPr>
      <w:rFonts w:ascii="AdvTTa9c1b374+20" w:hAnsi="AdvTTa9c1b374+20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9C7C-42A7-4453-BA57-66AD7BBD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4247</Words>
  <Characters>2421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Анотований звіт по темі 06БФ 050-01-ДП</vt:lpstr>
      <vt:lpstr>Анотований звіт по темі 06БФ 050-01-ДП</vt:lpstr>
    </vt:vector>
  </TitlesOfParts>
  <Company>MoBIL GROUP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Анотований звіт по темі 06БФ 050-01-ДП</dc:title>
  <dc:creator>Admin</dc:creator>
  <cp:lastModifiedBy>oleg</cp:lastModifiedBy>
  <cp:revision>25</cp:revision>
  <cp:lastPrinted>2024-05-13T14:03:00Z</cp:lastPrinted>
  <dcterms:created xsi:type="dcterms:W3CDTF">2025-05-26T20:39:00Z</dcterms:created>
  <dcterms:modified xsi:type="dcterms:W3CDTF">2025-05-27T13:15:00Z</dcterms:modified>
</cp:coreProperties>
</file>