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B24" w:rsidRDefault="009A55F0">
      <w:pPr>
        <w:spacing w:line="240" w:lineRule="auto"/>
        <w:ind w:left="522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Додаток 1 до Договору №___________ </w:t>
      </w:r>
    </w:p>
    <w:p w:rsidR="00060B24" w:rsidRDefault="009A55F0">
      <w:pPr>
        <w:spacing w:line="240" w:lineRule="auto"/>
        <w:ind w:left="522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від «      »___________ 2024 року </w:t>
      </w:r>
    </w:p>
    <w:p w:rsidR="00060B24" w:rsidRDefault="009A55F0">
      <w:pPr>
        <w:spacing w:line="240" w:lineRule="auto"/>
        <w:ind w:left="522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про надання грантової підтримки</w:t>
      </w:r>
    </w:p>
    <w:p w:rsidR="00060B24" w:rsidRDefault="00060B24">
      <w:pPr>
        <w:spacing w:line="240" w:lineRule="auto"/>
        <w:ind w:left="5227"/>
        <w:jc w:val="center"/>
        <w:rPr>
          <w:rFonts w:ascii="Times New Roman" w:eastAsia="Times New Roman" w:hAnsi="Times New Roman" w:cs="Times New Roman"/>
          <w:color w:val="000000"/>
          <w:sz w:val="20"/>
          <w:szCs w:val="20"/>
        </w:rPr>
      </w:pPr>
    </w:p>
    <w:p w:rsidR="00060B24" w:rsidRDefault="00060B24">
      <w:pPr>
        <w:spacing w:line="240" w:lineRule="auto"/>
        <w:ind w:left="5227"/>
        <w:jc w:val="center"/>
        <w:rPr>
          <w:rFonts w:ascii="Times New Roman" w:eastAsia="Times New Roman" w:hAnsi="Times New Roman" w:cs="Times New Roman"/>
          <w:color w:val="000000"/>
          <w:sz w:val="20"/>
          <w:szCs w:val="20"/>
        </w:rPr>
      </w:pPr>
    </w:p>
    <w:p w:rsidR="00060B24" w:rsidRDefault="009A55F0">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ЗАТВЕРДЖУЮ</w:t>
      </w:r>
    </w:p>
    <w:p w:rsidR="00060B24" w:rsidRDefault="009A55F0">
      <w:pPr>
        <w:spacing w:line="240" w:lineRule="auto"/>
        <w:ind w:left="522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Проректор з наукової роботи</w:t>
      </w:r>
    </w:p>
    <w:p w:rsidR="00060B24" w:rsidRDefault="009A55F0">
      <w:pPr>
        <w:spacing w:line="240" w:lineRule="auto"/>
        <w:ind w:left="522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Київського національного університету</w:t>
      </w:r>
    </w:p>
    <w:p w:rsidR="00060B24" w:rsidRDefault="009A55F0">
      <w:pPr>
        <w:spacing w:line="240" w:lineRule="auto"/>
        <w:ind w:left="5227"/>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Імені Тараса Шевченка</w:t>
      </w:r>
    </w:p>
    <w:p w:rsidR="00060B24" w:rsidRDefault="00060B24">
      <w:pPr>
        <w:spacing w:line="240" w:lineRule="auto"/>
        <w:ind w:left="5227"/>
        <w:jc w:val="center"/>
        <w:rPr>
          <w:rFonts w:ascii="Times New Roman" w:eastAsia="Times New Roman" w:hAnsi="Times New Roman" w:cs="Times New Roman"/>
          <w:color w:val="000000"/>
          <w:sz w:val="20"/>
          <w:szCs w:val="20"/>
        </w:rPr>
      </w:pPr>
    </w:p>
    <w:p w:rsidR="00060B24" w:rsidRDefault="009A55F0">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Ганна ТОЛСТАНОВА</w:t>
      </w:r>
    </w:p>
    <w:p w:rsidR="00060B24" w:rsidRDefault="00060B24">
      <w:pPr>
        <w:spacing w:line="240" w:lineRule="auto"/>
        <w:ind w:left="5670"/>
        <w:jc w:val="center"/>
        <w:rPr>
          <w:rFonts w:ascii="Times New Roman" w:eastAsia="Times New Roman" w:hAnsi="Times New Roman" w:cs="Times New Roman"/>
          <w:sz w:val="24"/>
          <w:szCs w:val="24"/>
          <w:vertAlign w:val="superscript"/>
        </w:rPr>
      </w:pPr>
    </w:p>
    <w:p w:rsidR="00060B24" w:rsidRDefault="009A55F0">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___________________________________</w:t>
      </w:r>
    </w:p>
    <w:p w:rsidR="00060B24" w:rsidRDefault="009A55F0">
      <w:pPr>
        <w:spacing w:line="240" w:lineRule="auto"/>
        <w:ind w:left="5227"/>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 (підпис)</w:t>
      </w:r>
    </w:p>
    <w:p w:rsidR="00060B24" w:rsidRDefault="009A55F0">
      <w:pPr>
        <w:spacing w:line="240" w:lineRule="auto"/>
        <w:ind w:left="5227"/>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0"/>
          <w:szCs w:val="20"/>
        </w:rPr>
        <w:t>м.п</w:t>
      </w:r>
      <w:proofErr w:type="spellEnd"/>
    </w:p>
    <w:p w:rsidR="00060B24" w:rsidRDefault="00060B24">
      <w:pPr>
        <w:spacing w:line="240" w:lineRule="auto"/>
        <w:ind w:left="2836" w:firstLine="708"/>
        <w:rPr>
          <w:rFonts w:ascii="Times New Roman" w:eastAsia="Times New Roman" w:hAnsi="Times New Roman" w:cs="Times New Roman"/>
          <w:b/>
          <w:color w:val="000000"/>
          <w:sz w:val="24"/>
          <w:szCs w:val="24"/>
        </w:rPr>
      </w:pPr>
    </w:p>
    <w:p w:rsidR="00060B24" w:rsidRDefault="00060B24">
      <w:pPr>
        <w:spacing w:line="240" w:lineRule="auto"/>
        <w:ind w:left="2836" w:firstLine="708"/>
        <w:rPr>
          <w:rFonts w:ascii="Times New Roman" w:eastAsia="Times New Roman" w:hAnsi="Times New Roman" w:cs="Times New Roman"/>
          <w:b/>
          <w:color w:val="000000"/>
          <w:sz w:val="24"/>
          <w:szCs w:val="24"/>
        </w:rPr>
      </w:pPr>
    </w:p>
    <w:p w:rsidR="00060B24" w:rsidRDefault="009A55F0">
      <w:pPr>
        <w:spacing w:line="240" w:lineRule="auto"/>
        <w:ind w:left="2836" w:firstLine="708"/>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ТЕХНІЧНЕ ЗАВДАННЯ</w:t>
      </w:r>
    </w:p>
    <w:p w:rsidR="00060B24" w:rsidRDefault="009A55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до проміжного етапу </w:t>
      </w:r>
      <w:proofErr w:type="spellStart"/>
      <w:r>
        <w:rPr>
          <w:rFonts w:ascii="Times New Roman" w:eastAsia="Times New Roman" w:hAnsi="Times New Roman" w:cs="Times New Roman"/>
          <w:b/>
          <w:sz w:val="24"/>
          <w:szCs w:val="24"/>
        </w:rPr>
        <w:t>п</w:t>
      </w:r>
      <w:r>
        <w:rPr>
          <w:rFonts w:ascii="Times New Roman" w:eastAsia="Times New Roman" w:hAnsi="Times New Roman" w:cs="Times New Roman"/>
          <w:b/>
          <w:color w:val="000000"/>
          <w:sz w:val="24"/>
          <w:szCs w:val="24"/>
        </w:rPr>
        <w:t>роєкту</w:t>
      </w:r>
      <w:proofErr w:type="spellEnd"/>
      <w:r>
        <w:rPr>
          <w:rFonts w:ascii="Times New Roman" w:eastAsia="Times New Roman" w:hAnsi="Times New Roman" w:cs="Times New Roman"/>
          <w:b/>
          <w:color w:val="000000"/>
          <w:sz w:val="24"/>
          <w:szCs w:val="24"/>
        </w:rPr>
        <w:t xml:space="preserve"> з виконання наукового дослідження і розробки на 2024 рік </w:t>
      </w:r>
    </w:p>
    <w:p w:rsidR="00060B24" w:rsidRDefault="009A55F0">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«Вирішення сучасних проблем хімії, біомедицини, фізики  та матеріалознавства з використанням центру високопродуктивних обчислень і машинного навчання»</w:t>
      </w:r>
      <w:r>
        <w:rPr>
          <w:rFonts w:ascii="Times New Roman" w:eastAsia="Times New Roman" w:hAnsi="Times New Roman" w:cs="Times New Roman"/>
          <w:color w:val="000000"/>
          <w:sz w:val="24"/>
          <w:szCs w:val="24"/>
        </w:rPr>
        <w:t xml:space="preserve"> </w:t>
      </w:r>
    </w:p>
    <w:p w:rsidR="00060B24" w:rsidRDefault="009A55F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(далі – </w:t>
      </w:r>
      <w:proofErr w:type="spellStart"/>
      <w:r>
        <w:rPr>
          <w:rFonts w:ascii="Times New Roman" w:eastAsia="Times New Roman" w:hAnsi="Times New Roman" w:cs="Times New Roman"/>
          <w:b/>
          <w:color w:val="000000"/>
          <w:sz w:val="24"/>
          <w:szCs w:val="24"/>
        </w:rPr>
        <w:t>Проєкт</w:t>
      </w:r>
      <w:proofErr w:type="spellEnd"/>
      <w:r>
        <w:rPr>
          <w:rFonts w:ascii="Times New Roman" w:eastAsia="Times New Roman" w:hAnsi="Times New Roman" w:cs="Times New Roman"/>
          <w:b/>
          <w:color w:val="000000"/>
          <w:sz w:val="24"/>
          <w:szCs w:val="24"/>
        </w:rPr>
        <w:t>)</w:t>
      </w:r>
    </w:p>
    <w:p w:rsidR="00060B24" w:rsidRDefault="00060B24">
      <w:pPr>
        <w:spacing w:line="240" w:lineRule="auto"/>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Назва конкурсу: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Дослідницькі інфраструктури для проведення передових наукових досліджень</w:t>
      </w:r>
      <w:r>
        <w:rPr>
          <w:rFonts w:ascii="Times New Roman" w:eastAsia="Times New Roman" w:hAnsi="Times New Roman" w:cs="Times New Roman"/>
          <w:sz w:val="24"/>
          <w:szCs w:val="24"/>
        </w:rPr>
        <w:t>»</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Реєстраційний номер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color w:val="000000"/>
          <w:sz w:val="24"/>
          <w:szCs w:val="24"/>
        </w:rPr>
        <w:t>: 2023.05/0024</w:t>
      </w:r>
    </w:p>
    <w:p w:rsidR="00060B24" w:rsidRDefault="00060B24">
      <w:pPr>
        <w:spacing w:line="240" w:lineRule="auto"/>
        <w:rPr>
          <w:rFonts w:ascii="Times New Roman" w:eastAsia="Times New Roman" w:hAnsi="Times New Roman" w:cs="Times New Roman"/>
          <w:color w:val="000000"/>
          <w:sz w:val="24"/>
          <w:szCs w:val="24"/>
        </w:rPr>
      </w:pP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Науковий керівник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(головний дослідник, </w:t>
      </w:r>
      <w:proofErr w:type="spellStart"/>
      <w:r>
        <w:rPr>
          <w:rFonts w:ascii="Times New Roman" w:eastAsia="Times New Roman" w:hAnsi="Times New Roman" w:cs="Times New Roman"/>
          <w:b/>
          <w:color w:val="000000"/>
          <w:sz w:val="24"/>
          <w:szCs w:val="24"/>
        </w:rPr>
        <w:t>principal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investigator</w:t>
      </w:r>
      <w:proofErr w:type="spellEnd"/>
      <w:r>
        <w:rPr>
          <w:rFonts w:ascii="Times New Roman" w:eastAsia="Times New Roman" w:hAnsi="Times New Roman" w:cs="Times New Roman"/>
          <w:b/>
          <w:color w:val="000000"/>
          <w:sz w:val="24"/>
          <w:szCs w:val="24"/>
        </w:rPr>
        <w:t xml:space="preserve"> (PI)):</w:t>
      </w:r>
      <w:r>
        <w:rPr>
          <w:rFonts w:ascii="Times New Roman" w:eastAsia="Times New Roman" w:hAnsi="Times New Roman" w:cs="Times New Roman"/>
          <w:color w:val="000000"/>
          <w:sz w:val="24"/>
          <w:szCs w:val="24"/>
        </w:rPr>
        <w:t xml:space="preserve"> Комаров Ігор Володимирович</w:t>
      </w:r>
    </w:p>
    <w:p w:rsidR="00060B24" w:rsidRDefault="00060B24">
      <w:pPr>
        <w:spacing w:line="240" w:lineRule="auto"/>
        <w:rPr>
          <w:rFonts w:ascii="Times New Roman" w:eastAsia="Times New Roman" w:hAnsi="Times New Roman" w:cs="Times New Roman"/>
          <w:color w:val="000000"/>
          <w:sz w:val="24"/>
          <w:szCs w:val="24"/>
        </w:rPr>
      </w:pP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Склад консультативної ради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(ПІБ, науковий ступень, основне місце роботи)</w:t>
      </w:r>
      <w:r>
        <w:rPr>
          <w:rFonts w:ascii="Times New Roman" w:eastAsia="Times New Roman" w:hAnsi="Times New Roman" w:cs="Times New Roman"/>
          <w:color w:val="000000"/>
          <w:sz w:val="24"/>
          <w:szCs w:val="24"/>
        </w:rPr>
        <w:t xml:space="preserve"> </w:t>
      </w: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Олександр ВАРНЕК (</w:t>
      </w:r>
      <w:proofErr w:type="spellStart"/>
      <w:r>
        <w:rPr>
          <w:rFonts w:ascii="Times New Roman" w:eastAsia="Times New Roman" w:hAnsi="Times New Roman" w:cs="Times New Roman"/>
          <w:color w:val="000000"/>
          <w:sz w:val="24"/>
          <w:szCs w:val="24"/>
        </w:rPr>
        <w:t>Alexandre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Varnek</w:t>
      </w:r>
      <w:proofErr w:type="spellEnd"/>
      <w:r>
        <w:rPr>
          <w:rFonts w:ascii="Times New Roman" w:eastAsia="Times New Roman" w:hAnsi="Times New Roman" w:cs="Times New Roman"/>
          <w:color w:val="000000"/>
          <w:sz w:val="24"/>
          <w:szCs w:val="24"/>
        </w:rPr>
        <w:t>, доктор хімічних наук (</w:t>
      </w:r>
      <w:proofErr w:type="spellStart"/>
      <w:r>
        <w:rPr>
          <w:rFonts w:ascii="Times New Roman" w:eastAsia="Times New Roman" w:hAnsi="Times New Roman" w:cs="Times New Roman"/>
          <w:color w:val="000000"/>
          <w:sz w:val="24"/>
          <w:szCs w:val="24"/>
        </w:rPr>
        <w:t>хабілітація</w:t>
      </w:r>
      <w:proofErr w:type="spellEnd"/>
      <w:r>
        <w:rPr>
          <w:rFonts w:ascii="Times New Roman" w:eastAsia="Times New Roman" w:hAnsi="Times New Roman" w:cs="Times New Roman"/>
          <w:color w:val="000000"/>
          <w:sz w:val="24"/>
          <w:szCs w:val="24"/>
        </w:rPr>
        <w:t xml:space="preserve">), професор і керівник лабораторії </w:t>
      </w:r>
      <w:proofErr w:type="spellStart"/>
      <w:r>
        <w:rPr>
          <w:rFonts w:ascii="Times New Roman" w:eastAsia="Times New Roman" w:hAnsi="Times New Roman" w:cs="Times New Roman"/>
          <w:color w:val="000000"/>
          <w:sz w:val="24"/>
          <w:szCs w:val="24"/>
        </w:rPr>
        <w:t>хемоінформатики</w:t>
      </w:r>
      <w:proofErr w:type="spellEnd"/>
      <w:r>
        <w:rPr>
          <w:rFonts w:ascii="Times New Roman" w:eastAsia="Times New Roman" w:hAnsi="Times New Roman" w:cs="Times New Roman"/>
          <w:color w:val="000000"/>
          <w:sz w:val="24"/>
          <w:szCs w:val="24"/>
        </w:rPr>
        <w:t xml:space="preserve"> Страсбурзького університету, Франція); </w:t>
      </w: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Сергій АФОНІН (</w:t>
      </w:r>
      <w:proofErr w:type="spellStart"/>
      <w:r>
        <w:rPr>
          <w:rFonts w:ascii="Times New Roman" w:eastAsia="Times New Roman" w:hAnsi="Times New Roman" w:cs="Times New Roman"/>
          <w:color w:val="000000"/>
          <w:sz w:val="24"/>
          <w:szCs w:val="24"/>
        </w:rPr>
        <w:t>Sergiy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Afonin</w:t>
      </w:r>
      <w:proofErr w:type="spellEnd"/>
      <w:r>
        <w:rPr>
          <w:rFonts w:ascii="Times New Roman" w:eastAsia="Times New Roman" w:hAnsi="Times New Roman" w:cs="Times New Roman"/>
          <w:color w:val="000000"/>
          <w:sz w:val="24"/>
          <w:szCs w:val="24"/>
        </w:rPr>
        <w:t xml:space="preserve">, науковий співробітник Інституту органічної хімії Технологічного інституту </w:t>
      </w:r>
      <w:proofErr w:type="spellStart"/>
      <w:r>
        <w:rPr>
          <w:rFonts w:ascii="Times New Roman" w:eastAsia="Times New Roman" w:hAnsi="Times New Roman" w:cs="Times New Roman"/>
          <w:color w:val="000000"/>
          <w:sz w:val="24"/>
          <w:szCs w:val="24"/>
        </w:rPr>
        <w:t>Карлсруе</w:t>
      </w:r>
      <w:proofErr w:type="spellEnd"/>
      <w:r>
        <w:rPr>
          <w:rFonts w:ascii="Times New Roman" w:eastAsia="Times New Roman" w:hAnsi="Times New Roman" w:cs="Times New Roman"/>
          <w:color w:val="000000"/>
          <w:sz w:val="24"/>
          <w:szCs w:val="24"/>
        </w:rPr>
        <w:t xml:space="preserve">, Німеччина); </w:t>
      </w: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Мирослав КАВАЦЮК (</w:t>
      </w:r>
      <w:proofErr w:type="spellStart"/>
      <w:r>
        <w:rPr>
          <w:rFonts w:ascii="Times New Roman" w:eastAsia="Times New Roman" w:hAnsi="Times New Roman" w:cs="Times New Roman"/>
          <w:color w:val="000000"/>
          <w:sz w:val="24"/>
          <w:szCs w:val="24"/>
        </w:rPr>
        <w:t>Myroslav</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Kavatsyuk</w:t>
      </w:r>
      <w:proofErr w:type="spellEnd"/>
      <w:r>
        <w:rPr>
          <w:rFonts w:ascii="Times New Roman" w:eastAsia="Times New Roman" w:hAnsi="Times New Roman" w:cs="Times New Roman"/>
          <w:color w:val="000000"/>
          <w:sz w:val="24"/>
          <w:szCs w:val="24"/>
        </w:rPr>
        <w:t xml:space="preserve">, викладач науково-технічного факультету Університету </w:t>
      </w:r>
      <w:proofErr w:type="spellStart"/>
      <w:r>
        <w:rPr>
          <w:rFonts w:ascii="Times New Roman" w:eastAsia="Times New Roman" w:hAnsi="Times New Roman" w:cs="Times New Roman"/>
          <w:color w:val="000000"/>
          <w:sz w:val="24"/>
          <w:szCs w:val="24"/>
        </w:rPr>
        <w:t>Гронінгена</w:t>
      </w:r>
      <w:proofErr w:type="spellEnd"/>
      <w:r>
        <w:rPr>
          <w:rFonts w:ascii="Times New Roman" w:eastAsia="Times New Roman" w:hAnsi="Times New Roman" w:cs="Times New Roman"/>
          <w:color w:val="000000"/>
          <w:sz w:val="24"/>
          <w:szCs w:val="24"/>
        </w:rPr>
        <w:t xml:space="preserve">, Нідерланди); </w:t>
      </w:r>
    </w:p>
    <w:p w:rsidR="00060B24" w:rsidRDefault="009A55F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Сергій НІРЕНБУРГ (</w:t>
      </w:r>
      <w:proofErr w:type="spellStart"/>
      <w:r>
        <w:rPr>
          <w:rFonts w:ascii="Times New Roman" w:eastAsia="Times New Roman" w:hAnsi="Times New Roman" w:cs="Times New Roman"/>
          <w:color w:val="000000"/>
          <w:sz w:val="24"/>
          <w:szCs w:val="24"/>
        </w:rPr>
        <w:t>Sergei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Nirenburg</w:t>
      </w:r>
      <w:proofErr w:type="spellEnd"/>
      <w:r>
        <w:rPr>
          <w:rFonts w:ascii="Times New Roman" w:eastAsia="Times New Roman" w:hAnsi="Times New Roman" w:cs="Times New Roman"/>
          <w:color w:val="000000"/>
          <w:sz w:val="24"/>
          <w:szCs w:val="24"/>
        </w:rPr>
        <w:t xml:space="preserve">, доктор філософії, професор когнітивних та комп’ютерних наук Політехнічного інституту </w:t>
      </w:r>
      <w:proofErr w:type="spellStart"/>
      <w:r>
        <w:rPr>
          <w:rFonts w:ascii="Times New Roman" w:eastAsia="Times New Roman" w:hAnsi="Times New Roman" w:cs="Times New Roman"/>
          <w:color w:val="000000"/>
          <w:sz w:val="24"/>
          <w:szCs w:val="24"/>
        </w:rPr>
        <w:t>Ренсселера</w:t>
      </w:r>
      <w:proofErr w:type="spellEnd"/>
      <w:r>
        <w:rPr>
          <w:rFonts w:ascii="Times New Roman" w:eastAsia="Times New Roman" w:hAnsi="Times New Roman" w:cs="Times New Roman"/>
          <w:color w:val="000000"/>
          <w:sz w:val="24"/>
          <w:szCs w:val="24"/>
        </w:rPr>
        <w:t xml:space="preserve"> в Трої, штат Нью-Йорк, США); </w:t>
      </w:r>
    </w:p>
    <w:p w:rsidR="00060B24" w:rsidRDefault="009A55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5) Сергій СВІСТУНОВ, кандидат технічних наук, завідувач відділу Комп’ютерного забезпечення наукових досліджень і науково-технічної інформації Інституту теоретичної фізики </w:t>
      </w:r>
      <w:proofErr w:type="spellStart"/>
      <w:r>
        <w:rPr>
          <w:rFonts w:ascii="Times New Roman" w:eastAsia="Times New Roman" w:hAnsi="Times New Roman" w:cs="Times New Roman"/>
          <w:color w:val="000000"/>
          <w:sz w:val="24"/>
          <w:szCs w:val="24"/>
        </w:rPr>
        <w:t>ім.М.М.Боголюбова</w:t>
      </w:r>
      <w:proofErr w:type="spellEnd"/>
      <w:r>
        <w:rPr>
          <w:rFonts w:ascii="Times New Roman" w:eastAsia="Times New Roman" w:hAnsi="Times New Roman" w:cs="Times New Roman"/>
          <w:color w:val="000000"/>
          <w:sz w:val="24"/>
          <w:szCs w:val="24"/>
        </w:rPr>
        <w:t xml:space="preserve"> НАН України.  </w:t>
      </w:r>
    </w:p>
    <w:p w:rsidR="00060B24" w:rsidRDefault="009A55F0">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Підстави для реалізації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з виконання наукових досліджень і розробок:</w:t>
      </w:r>
    </w:p>
    <w:p w:rsidR="00060B24" w:rsidRDefault="009A55F0">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Рішення наукової ради Національного фонду досліджень України щодо визначення переможця конкурсу</w:t>
      </w:r>
      <w:r>
        <w:rPr>
          <w:rFonts w:ascii="Times New Roman" w:eastAsia="Times New Roman" w:hAnsi="Times New Roman" w:cs="Times New Roman"/>
          <w:b/>
          <w:i/>
          <w:color w:val="000000"/>
          <w:sz w:val="24"/>
          <w:szCs w:val="24"/>
        </w:rPr>
        <w:t> </w:t>
      </w:r>
      <w:r>
        <w:rPr>
          <w:rFonts w:ascii="Times New Roman" w:eastAsia="Times New Roman" w:hAnsi="Times New Roman" w:cs="Times New Roman"/>
          <w:color w:val="000000"/>
          <w:sz w:val="24"/>
          <w:szCs w:val="24"/>
        </w:rPr>
        <w:t>протокол від 27 червня 2024 року № 20</w:t>
      </w:r>
    </w:p>
    <w:p w:rsidR="00060B24" w:rsidRDefault="009A55F0">
      <w:pPr>
        <w:spacing w:before="280"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Декларація від установи </w:t>
      </w:r>
      <w:proofErr w:type="spellStart"/>
      <w:r>
        <w:rPr>
          <w:rFonts w:ascii="Times New Roman" w:eastAsia="Times New Roman" w:hAnsi="Times New Roman" w:cs="Times New Roman"/>
          <w:b/>
          <w:color w:val="000000"/>
          <w:sz w:val="24"/>
          <w:szCs w:val="24"/>
        </w:rPr>
        <w:t>грантоотримувача</w:t>
      </w:r>
      <w:proofErr w:type="spellEnd"/>
      <w:r>
        <w:rPr>
          <w:rFonts w:ascii="Times New Roman" w:eastAsia="Times New Roman" w:hAnsi="Times New Roman" w:cs="Times New Roman"/>
          <w:b/>
          <w:color w:val="000000"/>
          <w:sz w:val="24"/>
          <w:szCs w:val="24"/>
        </w:rPr>
        <w:t xml:space="preserve"> (вихідний номер, дата) </w:t>
      </w:r>
    </w:p>
    <w:p w:rsidR="00060B24" w:rsidRDefault="009A55F0">
      <w:pPr>
        <w:spacing w:before="280"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013/456 від 12 липня 2024 року</w:t>
      </w:r>
    </w:p>
    <w:p w:rsidR="00060B24" w:rsidRDefault="00060B24">
      <w:pPr>
        <w:spacing w:line="240" w:lineRule="auto"/>
        <w:rPr>
          <w:rFonts w:ascii="Times New Roman" w:eastAsia="Times New Roman" w:hAnsi="Times New Roman" w:cs="Times New Roman"/>
          <w:b/>
          <w:color w:val="000000"/>
          <w:sz w:val="24"/>
          <w:szCs w:val="24"/>
        </w:rPr>
      </w:pPr>
    </w:p>
    <w:p w:rsidR="00060B24" w:rsidRDefault="009A55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1. ЗАГАЛЬНА ІНФОРМАЦІЯ ПРО ПРОЄКТ </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rsidR="00060B24" w:rsidRDefault="009A55F0">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Короткий опис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(до 5000 знаків)</w:t>
      </w:r>
    </w:p>
    <w:p w:rsidR="00060B24" w:rsidRDefault="009A55F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Сучасні наукові дослідження сьогодні важко собі уявити без застосування комп’ютерних технологій. На жаль, в забезпеченні ними науки в Україні спостерігається серйозне відставання </w:t>
      </w:r>
      <w:r>
        <w:rPr>
          <w:rFonts w:ascii="Times New Roman" w:eastAsia="Times New Roman" w:hAnsi="Times New Roman" w:cs="Times New Roman"/>
          <w:sz w:val="24"/>
          <w:szCs w:val="24"/>
        </w:rPr>
        <w:lastRenderedPageBreak/>
        <w:t xml:space="preserve">від світового рівня. Даним проектом передбачається створення нової дослідницької інфраструктурної одиниці – потужного комп’ютерного кластера КНУ ім. Т. Шевченка, обладнаного пакетами програм, та проведення на ньому наукових досліджень в галузі фізики ядра, елементарних частинок, високих енергій, </w:t>
      </w:r>
      <w:proofErr w:type="spellStart"/>
      <w:r>
        <w:rPr>
          <w:rFonts w:ascii="Times New Roman" w:eastAsia="Times New Roman" w:hAnsi="Times New Roman" w:cs="Times New Roman"/>
          <w:sz w:val="24"/>
          <w:szCs w:val="24"/>
        </w:rPr>
        <w:t>хемо</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біоінформатики</w:t>
      </w:r>
      <w:proofErr w:type="spellEnd"/>
      <w:r>
        <w:rPr>
          <w:rFonts w:ascii="Times New Roman" w:eastAsia="Times New Roman" w:hAnsi="Times New Roman" w:cs="Times New Roman"/>
          <w:sz w:val="24"/>
          <w:szCs w:val="24"/>
        </w:rPr>
        <w:t xml:space="preserve">, штучного інтелекту та комп’ютерної лінгвістики. Зокрема, планується провести: 1. Симуляцію розпаду </w:t>
      </w:r>
      <w:proofErr w:type="spellStart"/>
      <w:r>
        <w:rPr>
          <w:rFonts w:ascii="Times New Roman" w:eastAsia="Times New Roman" w:hAnsi="Times New Roman" w:cs="Times New Roman"/>
          <w:sz w:val="24"/>
          <w:szCs w:val="24"/>
        </w:rPr>
        <w:t>динуклонних</w:t>
      </w:r>
      <w:proofErr w:type="spellEnd"/>
      <w:r>
        <w:rPr>
          <w:rFonts w:ascii="Times New Roman" w:eastAsia="Times New Roman" w:hAnsi="Times New Roman" w:cs="Times New Roman"/>
          <w:sz w:val="24"/>
          <w:szCs w:val="24"/>
        </w:rPr>
        <w:t xml:space="preserve"> систем (</w:t>
      </w:r>
      <w:proofErr w:type="spellStart"/>
      <w:r>
        <w:rPr>
          <w:rFonts w:ascii="Times New Roman" w:eastAsia="Times New Roman" w:hAnsi="Times New Roman" w:cs="Times New Roman"/>
          <w:sz w:val="24"/>
          <w:szCs w:val="24"/>
        </w:rPr>
        <w:t>динейтрон</w:t>
      </w:r>
      <w:proofErr w:type="spellEnd"/>
      <w:r>
        <w:rPr>
          <w:rFonts w:ascii="Times New Roman" w:eastAsia="Times New Roman" w:hAnsi="Times New Roman" w:cs="Times New Roman"/>
          <w:sz w:val="24"/>
          <w:szCs w:val="24"/>
        </w:rPr>
        <w:t xml:space="preserve">) із застосуванням кодів GEANT, TALYS і </w:t>
      </w:r>
      <w:proofErr w:type="spellStart"/>
      <w:r>
        <w:rPr>
          <w:rFonts w:ascii="Times New Roman" w:eastAsia="Times New Roman" w:hAnsi="Times New Roman" w:cs="Times New Roman"/>
          <w:sz w:val="24"/>
          <w:szCs w:val="24"/>
        </w:rPr>
        <w:t>скриптів</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Phyton</w:t>
      </w:r>
      <w:proofErr w:type="spellEnd"/>
      <w:r>
        <w:rPr>
          <w:rFonts w:ascii="Times New Roman" w:eastAsia="Times New Roman" w:hAnsi="Times New Roman" w:cs="Times New Roman"/>
          <w:sz w:val="24"/>
          <w:szCs w:val="24"/>
        </w:rPr>
        <w:t xml:space="preserve">, використовуючи машинне навчання, та проведення оптимізації відбору подій для визначення параметрів розпаду </w:t>
      </w:r>
      <w:proofErr w:type="spellStart"/>
      <w:r>
        <w:rPr>
          <w:rFonts w:ascii="Times New Roman" w:eastAsia="Times New Roman" w:hAnsi="Times New Roman" w:cs="Times New Roman"/>
          <w:sz w:val="24"/>
          <w:szCs w:val="24"/>
        </w:rPr>
        <w:t>динейтрона</w:t>
      </w:r>
      <w:proofErr w:type="spellEnd"/>
      <w:r>
        <w:rPr>
          <w:rFonts w:ascii="Times New Roman" w:eastAsia="Times New Roman" w:hAnsi="Times New Roman" w:cs="Times New Roman"/>
          <w:sz w:val="24"/>
          <w:szCs w:val="24"/>
        </w:rPr>
        <w:t xml:space="preserve">, проведення теоретичного моделювання опису процесів розпаду </w:t>
      </w:r>
      <w:proofErr w:type="spellStart"/>
      <w:r>
        <w:rPr>
          <w:rFonts w:ascii="Times New Roman" w:eastAsia="Times New Roman" w:hAnsi="Times New Roman" w:cs="Times New Roman"/>
          <w:sz w:val="24"/>
          <w:szCs w:val="24"/>
        </w:rPr>
        <w:t>двонуклонних</w:t>
      </w:r>
      <w:proofErr w:type="spellEnd"/>
      <w:r>
        <w:rPr>
          <w:rFonts w:ascii="Times New Roman" w:eastAsia="Times New Roman" w:hAnsi="Times New Roman" w:cs="Times New Roman"/>
          <w:sz w:val="24"/>
          <w:szCs w:val="24"/>
        </w:rPr>
        <w:t xml:space="preserve"> систем </w:t>
      </w:r>
      <w:proofErr w:type="spellStart"/>
      <w:r>
        <w:rPr>
          <w:rFonts w:ascii="Times New Roman" w:eastAsia="Times New Roman" w:hAnsi="Times New Roman" w:cs="Times New Roman"/>
          <w:sz w:val="24"/>
          <w:szCs w:val="24"/>
        </w:rPr>
        <w:t>динейтрона</w:t>
      </w:r>
      <w:proofErr w:type="spellEnd"/>
      <w:r>
        <w:rPr>
          <w:rFonts w:ascii="Times New Roman" w:eastAsia="Times New Roman" w:hAnsi="Times New Roman" w:cs="Times New Roman"/>
          <w:sz w:val="24"/>
          <w:szCs w:val="24"/>
        </w:rPr>
        <w:t xml:space="preserve">; 2. Напрацювання методів і підходів до прогнозування теплофізичних властивостей матеріалів і структур різної розмірності та морфології для підвищення наукового рейтингу команди виконавців і передумовою їхньої подальшої участі в престижних конкурсах наукових </w:t>
      </w:r>
      <w:proofErr w:type="spellStart"/>
      <w:r>
        <w:rPr>
          <w:rFonts w:ascii="Times New Roman" w:eastAsia="Times New Roman" w:hAnsi="Times New Roman" w:cs="Times New Roman"/>
          <w:sz w:val="24"/>
          <w:szCs w:val="24"/>
        </w:rPr>
        <w:t>проєктів</w:t>
      </w:r>
      <w:proofErr w:type="spellEnd"/>
      <w:r>
        <w:rPr>
          <w:rFonts w:ascii="Times New Roman" w:eastAsia="Times New Roman" w:hAnsi="Times New Roman" w:cs="Times New Roman"/>
          <w:sz w:val="24"/>
          <w:szCs w:val="24"/>
        </w:rPr>
        <w:t xml:space="preserve">; 3. Інтеграцію VIRGO.UA у платформу </w:t>
      </w:r>
      <w:proofErr w:type="spellStart"/>
      <w:r>
        <w:rPr>
          <w:rFonts w:ascii="Times New Roman" w:eastAsia="Times New Roman" w:hAnsi="Times New Roman" w:cs="Times New Roman"/>
          <w:sz w:val="24"/>
          <w:szCs w:val="24"/>
        </w:rPr>
        <w:t>Multi</w:t>
      </w:r>
      <w:proofErr w:type="spellEnd"/>
      <w:r>
        <w:rPr>
          <w:rFonts w:ascii="Times New Roman" w:eastAsia="Times New Roman" w:hAnsi="Times New Roman" w:cs="Times New Roman"/>
          <w:sz w:val="24"/>
          <w:szCs w:val="24"/>
        </w:rPr>
        <w:t xml:space="preserve">-Messenger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(MMODA, https://www.astro.unige.ch/mmoda/) та отримання доступу до </w:t>
      </w:r>
      <w:proofErr w:type="spellStart"/>
      <w:r>
        <w:rPr>
          <w:rFonts w:ascii="Times New Roman" w:eastAsia="Times New Roman" w:hAnsi="Times New Roman" w:cs="Times New Roman"/>
          <w:sz w:val="24"/>
          <w:szCs w:val="24"/>
        </w:rPr>
        <w:t>European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Cloud</w:t>
      </w:r>
      <w:proofErr w:type="spellEnd"/>
      <w:r>
        <w:rPr>
          <w:rFonts w:ascii="Times New Roman" w:eastAsia="Times New Roman" w:hAnsi="Times New Roman" w:cs="Times New Roman"/>
          <w:sz w:val="24"/>
          <w:szCs w:val="24"/>
        </w:rPr>
        <w:t xml:space="preserve"> (EOSC) чи його підструктур. VIRGO.UA виступатиме у ролі української сполучної ланки для MMODA. Центр буде обслуговувати веб-сервер, який дублює послуги з доступу до архівів даних та аналізу даних, а також моделювання від MMODA; 4. Визначення особливостей молекулярної структури, електронних взаємодій, реакційної здатності та механізмів реакцій синтезу молекул - потенційних будівельних блоків для </w:t>
      </w:r>
      <w:proofErr w:type="spellStart"/>
      <w:r>
        <w:rPr>
          <w:rFonts w:ascii="Times New Roman" w:eastAsia="Times New Roman" w:hAnsi="Times New Roman" w:cs="Times New Roman"/>
          <w:sz w:val="24"/>
          <w:szCs w:val="24"/>
        </w:rPr>
        <w:t>біо</w:t>
      </w:r>
      <w:proofErr w:type="spellEnd"/>
      <w:r>
        <w:rPr>
          <w:rFonts w:ascii="Times New Roman" w:eastAsia="Times New Roman" w:hAnsi="Times New Roman" w:cs="Times New Roman"/>
          <w:sz w:val="24"/>
          <w:szCs w:val="24"/>
        </w:rPr>
        <w:t xml:space="preserve">- та медичної хімії. Будуть досліджені унікальні сполуки, синтезовані на основі </w:t>
      </w:r>
      <w:proofErr w:type="spellStart"/>
      <w:r>
        <w:rPr>
          <w:rFonts w:ascii="Times New Roman" w:eastAsia="Times New Roman" w:hAnsi="Times New Roman" w:cs="Times New Roman"/>
          <w:sz w:val="24"/>
          <w:szCs w:val="24"/>
        </w:rPr>
        <w:t>діазоалканів</w:t>
      </w:r>
      <w:proofErr w:type="spellEnd"/>
      <w:r>
        <w:rPr>
          <w:rFonts w:ascii="Times New Roman" w:eastAsia="Times New Roman" w:hAnsi="Times New Roman" w:cs="Times New Roman"/>
          <w:sz w:val="24"/>
          <w:szCs w:val="24"/>
        </w:rPr>
        <w:t xml:space="preserve"> із використанням сучасних технологій, таких як вітчизняні проточні (фото)реактори, які не мають аналогів у світі; 5. Прогнозування потенційної біологічної активності нових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 xml:space="preserve">, зокрема,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 xml:space="preserve"> із структурних банків даних, використовуючи сучасні підходи </w:t>
      </w:r>
      <w:proofErr w:type="spellStart"/>
      <w:r>
        <w:rPr>
          <w:rFonts w:ascii="Times New Roman" w:eastAsia="Times New Roman" w:hAnsi="Times New Roman" w:cs="Times New Roman"/>
          <w:sz w:val="24"/>
          <w:szCs w:val="24"/>
        </w:rPr>
        <w:t>хемоінформатики</w:t>
      </w:r>
      <w:proofErr w:type="spellEnd"/>
      <w:r>
        <w:rPr>
          <w:rFonts w:ascii="Times New Roman" w:eastAsia="Times New Roman" w:hAnsi="Times New Roman" w:cs="Times New Roman"/>
          <w:sz w:val="24"/>
          <w:szCs w:val="24"/>
        </w:rPr>
        <w:t xml:space="preserve">, молекулярного </w:t>
      </w:r>
      <w:proofErr w:type="spellStart"/>
      <w:r>
        <w:rPr>
          <w:rFonts w:ascii="Times New Roman" w:eastAsia="Times New Roman" w:hAnsi="Times New Roman" w:cs="Times New Roman"/>
          <w:sz w:val="24"/>
          <w:szCs w:val="24"/>
        </w:rPr>
        <w:t>докінгу</w:t>
      </w:r>
      <w:proofErr w:type="spellEnd"/>
      <w:r>
        <w:rPr>
          <w:rFonts w:ascii="Times New Roman" w:eastAsia="Times New Roman" w:hAnsi="Times New Roman" w:cs="Times New Roman"/>
          <w:sz w:val="24"/>
          <w:szCs w:val="24"/>
        </w:rPr>
        <w:t xml:space="preserve">, молекулярної динаміки, розширеного </w:t>
      </w:r>
      <w:proofErr w:type="spellStart"/>
      <w:r>
        <w:rPr>
          <w:rFonts w:ascii="Times New Roman" w:eastAsia="Times New Roman" w:hAnsi="Times New Roman" w:cs="Times New Roman"/>
          <w:sz w:val="24"/>
          <w:szCs w:val="24"/>
        </w:rPr>
        <w:t>семплінгу</w:t>
      </w:r>
      <w:proofErr w:type="spellEnd"/>
      <w:r>
        <w:rPr>
          <w:rFonts w:ascii="Times New Roman" w:eastAsia="Times New Roman" w:hAnsi="Times New Roman" w:cs="Times New Roman"/>
          <w:sz w:val="24"/>
          <w:szCs w:val="24"/>
        </w:rPr>
        <w:t xml:space="preserve">, штучного інтелекту; 6. Розроблення технології побудови великих нейронних моделей на прикладі великих лінгвістичних моделей з використанням </w:t>
      </w:r>
      <w:proofErr w:type="spellStart"/>
      <w:r>
        <w:rPr>
          <w:rFonts w:ascii="Times New Roman" w:eastAsia="Times New Roman" w:hAnsi="Times New Roman" w:cs="Times New Roman"/>
          <w:sz w:val="24"/>
          <w:szCs w:val="24"/>
        </w:rPr>
        <w:t>потужностей</w:t>
      </w:r>
      <w:proofErr w:type="spellEnd"/>
      <w:r>
        <w:rPr>
          <w:rFonts w:ascii="Times New Roman" w:eastAsia="Times New Roman" w:hAnsi="Times New Roman" w:cs="Times New Roman"/>
          <w:sz w:val="24"/>
          <w:szCs w:val="24"/>
        </w:rPr>
        <w:t xml:space="preserve"> створеного обчислювального кластера; 7. Адаптацію великих лінгвістичних моделей до інших мов, до розширеного лексикону інших предметних областей, до інших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реалій (жаргонізми, фігури мовлення, сталі вирази тощо); побудова методів тонкого налаштування великих лінгвістичних моделей під виконання прикладних задач, актуальних для держави і світу в цілому; дослідження побудови великих нейронних моделей нелінгвістичного спрямування.</w:t>
      </w:r>
    </w:p>
    <w:p w:rsidR="00060B24" w:rsidRDefault="009A55F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Планується вперше отримати характеристики спектрометра, необхідного для проведення експерименту з розпаду </w:t>
      </w:r>
      <w:proofErr w:type="spellStart"/>
      <w:r>
        <w:rPr>
          <w:rFonts w:ascii="Times New Roman" w:eastAsia="Times New Roman" w:hAnsi="Times New Roman" w:cs="Times New Roman"/>
          <w:sz w:val="24"/>
          <w:szCs w:val="24"/>
        </w:rPr>
        <w:t>динейтрону</w:t>
      </w:r>
      <w:proofErr w:type="spellEnd"/>
      <w:r>
        <w:rPr>
          <w:rFonts w:ascii="Times New Roman" w:eastAsia="Times New Roman" w:hAnsi="Times New Roman" w:cs="Times New Roman"/>
          <w:sz w:val="24"/>
          <w:szCs w:val="24"/>
        </w:rPr>
        <w:t xml:space="preserve"> через канал електронного розпаду в дейтрон; використання потенціалів міжатомної взаємодії, </w:t>
      </w:r>
      <w:proofErr w:type="spellStart"/>
      <w:r>
        <w:rPr>
          <w:rFonts w:ascii="Times New Roman" w:eastAsia="Times New Roman" w:hAnsi="Times New Roman" w:cs="Times New Roman"/>
          <w:sz w:val="24"/>
          <w:szCs w:val="24"/>
        </w:rPr>
        <w:t>параметризованих</w:t>
      </w:r>
      <w:proofErr w:type="spellEnd"/>
      <w:r>
        <w:rPr>
          <w:rFonts w:ascii="Times New Roman" w:eastAsia="Times New Roman" w:hAnsi="Times New Roman" w:cs="Times New Roman"/>
          <w:sz w:val="24"/>
          <w:szCs w:val="24"/>
        </w:rPr>
        <w:t xml:space="preserve"> методами машинного навчання, для молекулярно-динамічного моделювання процесів теплового транспорту в різних матеріалах. Дослідження в астрофізиці високих енергій будуть проводитися у новітньому напрямі </w:t>
      </w:r>
      <w:proofErr w:type="spellStart"/>
      <w:r>
        <w:rPr>
          <w:rFonts w:ascii="Times New Roman" w:eastAsia="Times New Roman" w:hAnsi="Times New Roman" w:cs="Times New Roman"/>
          <w:sz w:val="24"/>
          <w:szCs w:val="24"/>
        </w:rPr>
        <w:t>гравітаційно</w:t>
      </w:r>
      <w:proofErr w:type="spellEnd"/>
      <w:r>
        <w:rPr>
          <w:rFonts w:ascii="Times New Roman" w:eastAsia="Times New Roman" w:hAnsi="Times New Roman" w:cs="Times New Roman"/>
          <w:sz w:val="24"/>
          <w:szCs w:val="24"/>
        </w:rPr>
        <w:t xml:space="preserve">-хвильової та нейтринної астрономії, де реєструються події одночасно в різних спектральних діапазонах та через різні канали спостережень, що є новітньою методикою фізики астрономічних джерел. За допомогою квантової хімії досліджуватимуться нові класи органічних молекул з унікальною структурою – потенційні будівельні блоки для медичної хімії та агрохімії, а також механізми ефективних </w:t>
      </w:r>
      <w:proofErr w:type="spellStart"/>
      <w:r>
        <w:rPr>
          <w:rFonts w:ascii="Times New Roman" w:eastAsia="Times New Roman" w:hAnsi="Times New Roman" w:cs="Times New Roman"/>
          <w:sz w:val="24"/>
          <w:szCs w:val="24"/>
        </w:rPr>
        <w:t>фотоініційованих</w:t>
      </w:r>
      <w:proofErr w:type="spellEnd"/>
      <w:r>
        <w:rPr>
          <w:rFonts w:ascii="Times New Roman" w:eastAsia="Times New Roman" w:hAnsi="Times New Roman" w:cs="Times New Roman"/>
          <w:sz w:val="24"/>
          <w:szCs w:val="24"/>
        </w:rPr>
        <w:t xml:space="preserve"> та проточних промислових процесів їх синтезу. Комп’ютерний аналіз потенційної взаємодії структур-кандидатів із біологічними мішенями з використанням молекулярної динаміки та молекулярного </w:t>
      </w:r>
      <w:proofErr w:type="spellStart"/>
      <w:r>
        <w:rPr>
          <w:rFonts w:ascii="Times New Roman" w:eastAsia="Times New Roman" w:hAnsi="Times New Roman" w:cs="Times New Roman"/>
          <w:sz w:val="24"/>
          <w:szCs w:val="24"/>
        </w:rPr>
        <w:t>докінгу</w:t>
      </w:r>
      <w:proofErr w:type="spellEnd"/>
      <w:r>
        <w:rPr>
          <w:rFonts w:ascii="Times New Roman" w:eastAsia="Times New Roman" w:hAnsi="Times New Roman" w:cs="Times New Roman"/>
          <w:sz w:val="24"/>
          <w:szCs w:val="24"/>
        </w:rPr>
        <w:t xml:space="preserve"> сприятиме цілеспрямованого синтезу нових біологічно активних речовин – потенційних лікарських засобів та препаратів для агрохімії.</w:t>
      </w:r>
    </w:p>
    <w:p w:rsidR="00060B24" w:rsidRDefault="009A55F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галузі штучного інтелекту та машинного навчання планується розробка, адаптація та тонке налаштування великих нейронних лінгвістичних моделей і прикладних систем на їх основі. Новими складовими даної технології буде оптимізація обчислювальних процесів, генерація зв’язних текстів заданого змісту, а також розпізнавання в текстах та </w:t>
      </w:r>
      <w:proofErr w:type="spellStart"/>
      <w:r>
        <w:rPr>
          <w:rFonts w:ascii="Times New Roman" w:eastAsia="Times New Roman" w:hAnsi="Times New Roman" w:cs="Times New Roman"/>
          <w:sz w:val="24"/>
          <w:szCs w:val="24"/>
        </w:rPr>
        <w:t>соцмережах</w:t>
      </w:r>
      <w:proofErr w:type="spellEnd"/>
      <w:r>
        <w:rPr>
          <w:rFonts w:ascii="Times New Roman" w:eastAsia="Times New Roman" w:hAnsi="Times New Roman" w:cs="Times New Roman"/>
          <w:sz w:val="24"/>
          <w:szCs w:val="24"/>
        </w:rPr>
        <w:t xml:space="preserve"> пропаганди, недостовірних повідомлень, текстів, що мають ознаки ІПСО, а також ботів та осіб з небезпечною поведінкою.</w:t>
      </w:r>
    </w:p>
    <w:p w:rsidR="00060B24" w:rsidRDefault="009A55F0">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Довгострокова мета проекту - надання науковцям КНУ та інших наукових та освітніх установ доступу до ресурсів кластера для реалізації наукових та освітніх задач. Умови колективного використання кластера сприятимуть професійному обслуговуванню, своєчасному технічному та </w:t>
      </w:r>
      <w:r>
        <w:rPr>
          <w:rFonts w:ascii="Times New Roman" w:eastAsia="Times New Roman" w:hAnsi="Times New Roman" w:cs="Times New Roman"/>
          <w:sz w:val="24"/>
          <w:szCs w:val="24"/>
        </w:rPr>
        <w:lastRenderedPageBreak/>
        <w:t>програмному оновленню, в тому числі, на основі використання коштів зацікавлених користувачів. Це сприятиме консолідації наукової спільноти в різних галузях комп’ютерних досліджень, їх популяризації та кращій підготовці молодих спеціалістів із комп’ютерних методів в хімії, фізиці та біології та започаткуванню спільних міждисциплінарних досліджень.</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060B24" w:rsidRDefault="009A55F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Тривалість виконання </w:t>
      </w:r>
      <w:proofErr w:type="spellStart"/>
      <w:r>
        <w:rPr>
          <w:rFonts w:ascii="Times New Roman" w:eastAsia="Times New Roman" w:hAnsi="Times New Roman" w:cs="Times New Roman"/>
          <w:b/>
          <w:sz w:val="24"/>
          <w:szCs w:val="24"/>
        </w:rPr>
        <w:t>Проєкту</w:t>
      </w:r>
      <w:proofErr w:type="spellEnd"/>
    </w:p>
    <w:tbl>
      <w:tblPr>
        <w:tblStyle w:val="aff4"/>
        <w:tblW w:w="100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5035"/>
      </w:tblGrid>
      <w:tr w:rsidR="00060B24">
        <w:tc>
          <w:tcPr>
            <w:tcW w:w="5035" w:type="dxa"/>
          </w:tcPr>
          <w:p w:rsidR="00060B24" w:rsidRDefault="009A55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Початок, рік</w:t>
            </w:r>
          </w:p>
        </w:tc>
        <w:tc>
          <w:tcPr>
            <w:tcW w:w="5035" w:type="dxa"/>
          </w:tcPr>
          <w:p w:rsidR="00060B24" w:rsidRDefault="009A55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w:t>
            </w:r>
          </w:p>
        </w:tc>
      </w:tr>
      <w:tr w:rsidR="00060B24">
        <w:tc>
          <w:tcPr>
            <w:tcW w:w="5035" w:type="dxa"/>
          </w:tcPr>
          <w:p w:rsidR="00060B24" w:rsidRDefault="009A55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Завершення, рік</w:t>
            </w:r>
          </w:p>
        </w:tc>
        <w:tc>
          <w:tcPr>
            <w:tcW w:w="5035" w:type="dxa"/>
          </w:tcPr>
          <w:p w:rsidR="00060B24" w:rsidRDefault="009A55F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2026</w:t>
            </w:r>
          </w:p>
        </w:tc>
      </w:tr>
    </w:tbl>
    <w:p w:rsidR="00060B24" w:rsidRDefault="00060B24">
      <w:pPr>
        <w:spacing w:line="240" w:lineRule="auto"/>
        <w:jc w:val="both"/>
        <w:rPr>
          <w:rFonts w:ascii="Times New Roman" w:eastAsia="Times New Roman" w:hAnsi="Times New Roman" w:cs="Times New Roman"/>
          <w:b/>
          <w:sz w:val="24"/>
          <w:szCs w:val="24"/>
        </w:rPr>
      </w:pPr>
    </w:p>
    <w:p w:rsidR="00060B24" w:rsidRDefault="009A55F0">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Тривалість виконання промі</w:t>
      </w:r>
      <w:r>
        <w:rPr>
          <w:rFonts w:ascii="Times New Roman" w:eastAsia="Times New Roman" w:hAnsi="Times New Roman" w:cs="Times New Roman"/>
          <w:b/>
          <w:sz w:val="24"/>
          <w:szCs w:val="24"/>
        </w:rPr>
        <w:t xml:space="preserve">жного етапу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у 202</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році</w:t>
      </w:r>
    </w:p>
    <w:tbl>
      <w:tblPr>
        <w:tblStyle w:val="aff5"/>
        <w:tblW w:w="1007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25"/>
        <w:gridCol w:w="2845"/>
      </w:tblGrid>
      <w:tr w:rsidR="00060B24">
        <w:trPr>
          <w:trHeight w:val="435"/>
        </w:trPr>
        <w:tc>
          <w:tcPr>
            <w:tcW w:w="7225" w:type="dxa"/>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 (відповідно до Календарного плану), місяць, рік:</w:t>
            </w:r>
          </w:p>
          <w:p w:rsidR="00060B24" w:rsidRDefault="00060B24">
            <w:pPr>
              <w:jc w:val="both"/>
              <w:rPr>
                <w:rFonts w:ascii="Times New Roman" w:eastAsia="Times New Roman" w:hAnsi="Times New Roman" w:cs="Times New Roman"/>
                <w:sz w:val="24"/>
                <w:szCs w:val="24"/>
              </w:rPr>
            </w:pPr>
          </w:p>
        </w:tc>
        <w:tc>
          <w:tcPr>
            <w:tcW w:w="2845" w:type="dxa"/>
            <w:vAlign w:val="center"/>
          </w:tcPr>
          <w:p w:rsidR="00060B24" w:rsidRDefault="009A5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Серпень 2024 р.</w:t>
            </w:r>
          </w:p>
        </w:tc>
      </w:tr>
      <w:tr w:rsidR="00060B24">
        <w:tc>
          <w:tcPr>
            <w:tcW w:w="7225" w:type="dxa"/>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Завершення, місяць, рік:</w:t>
            </w:r>
          </w:p>
          <w:p w:rsidR="00060B24" w:rsidRDefault="00060B24">
            <w:pPr>
              <w:jc w:val="both"/>
              <w:rPr>
                <w:rFonts w:ascii="Times New Roman" w:eastAsia="Times New Roman" w:hAnsi="Times New Roman" w:cs="Times New Roman"/>
                <w:sz w:val="24"/>
                <w:szCs w:val="24"/>
              </w:rPr>
            </w:pPr>
          </w:p>
        </w:tc>
        <w:tc>
          <w:tcPr>
            <w:tcW w:w="2845" w:type="dxa"/>
          </w:tcPr>
          <w:p w:rsidR="00060B24" w:rsidRDefault="009A55F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Грудень 2024 р.</w:t>
            </w:r>
          </w:p>
        </w:tc>
      </w:tr>
    </w:tbl>
    <w:p w:rsidR="00060B24" w:rsidRDefault="00060B24">
      <w:pPr>
        <w:spacing w:line="240" w:lineRule="auto"/>
        <w:jc w:val="both"/>
        <w:rPr>
          <w:rFonts w:ascii="Times New Roman" w:eastAsia="Times New Roman" w:hAnsi="Times New Roman" w:cs="Times New Roman"/>
          <w:b/>
          <w:color w:val="000000"/>
          <w:sz w:val="24"/>
          <w:szCs w:val="24"/>
        </w:rPr>
      </w:pPr>
    </w:p>
    <w:p w:rsidR="00060B24" w:rsidRDefault="00060B24">
      <w:pPr>
        <w:spacing w:line="240" w:lineRule="auto"/>
        <w:jc w:val="both"/>
        <w:rPr>
          <w:rFonts w:ascii="Times New Roman" w:eastAsia="Times New Roman" w:hAnsi="Times New Roman" w:cs="Times New Roman"/>
          <w:b/>
          <w:color w:val="000000"/>
          <w:sz w:val="24"/>
          <w:szCs w:val="24"/>
        </w:rPr>
      </w:pPr>
    </w:p>
    <w:p w:rsidR="00060B24" w:rsidRDefault="00060B24">
      <w:pPr>
        <w:spacing w:line="240" w:lineRule="auto"/>
        <w:jc w:val="both"/>
        <w:rPr>
          <w:rFonts w:ascii="Times New Roman" w:eastAsia="Times New Roman" w:hAnsi="Times New Roman" w:cs="Times New Roman"/>
          <w:b/>
          <w:sz w:val="24"/>
          <w:szCs w:val="24"/>
        </w:rPr>
      </w:pP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2. ІНФОРМАЦІЯ ПРО ВИКОНАВЦІВ ПРОЄКТУ </w:t>
      </w:r>
    </w:p>
    <w:tbl>
      <w:tblPr>
        <w:tblStyle w:val="aff6"/>
        <w:tblW w:w="961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0"/>
        <w:gridCol w:w="1605"/>
        <w:gridCol w:w="2175"/>
        <w:gridCol w:w="2355"/>
      </w:tblGrid>
      <w:tr w:rsidR="00060B24">
        <w:tc>
          <w:tcPr>
            <w:tcW w:w="3480" w:type="dxa"/>
            <w:vMerge w:val="restart"/>
          </w:tcPr>
          <w:p w:rsidR="00060B24" w:rsidRDefault="009A55F0">
            <w:pPr>
              <w:spacing w:before="240"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Загальна кількість авторів </w:t>
            </w:r>
            <w:proofErr w:type="spellStart"/>
            <w:r>
              <w:rPr>
                <w:rFonts w:ascii="Times New Roman" w:eastAsia="Times New Roman" w:hAnsi="Times New Roman" w:cs="Times New Roman"/>
                <w:b/>
                <w:color w:val="000000"/>
                <w:sz w:val="24"/>
                <w:szCs w:val="24"/>
              </w:rPr>
              <w:t>проєкту</w:t>
            </w:r>
            <w:proofErr w:type="spellEnd"/>
          </w:p>
        </w:tc>
        <w:tc>
          <w:tcPr>
            <w:tcW w:w="3780" w:type="dxa"/>
            <w:gridSpan w:val="2"/>
          </w:tcPr>
          <w:p w:rsidR="00060B24" w:rsidRDefault="009A55F0">
            <w:pPr>
              <w:spacing w:before="240"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 них</w:t>
            </w:r>
          </w:p>
        </w:tc>
        <w:tc>
          <w:tcPr>
            <w:tcW w:w="2355" w:type="dxa"/>
            <w:vMerge w:val="restart"/>
          </w:tcPr>
          <w:p w:rsidR="00060B24" w:rsidRDefault="00060B24">
            <w:pPr>
              <w:spacing w:before="240" w:after="240"/>
              <w:jc w:val="center"/>
              <w:rPr>
                <w:rFonts w:ascii="Times New Roman" w:eastAsia="Times New Roman" w:hAnsi="Times New Roman" w:cs="Times New Roman"/>
                <w:b/>
                <w:color w:val="000000"/>
                <w:sz w:val="24"/>
                <w:szCs w:val="24"/>
              </w:rPr>
            </w:pPr>
          </w:p>
          <w:p w:rsidR="00060B24" w:rsidRDefault="009A55F0">
            <w:pPr>
              <w:spacing w:before="240"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Допоміжний персонал</w:t>
            </w:r>
          </w:p>
        </w:tc>
      </w:tr>
      <w:tr w:rsidR="00060B24">
        <w:tc>
          <w:tcPr>
            <w:tcW w:w="3480" w:type="dxa"/>
            <w:vMerge/>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605" w:type="dxa"/>
          </w:tcPr>
          <w:p w:rsidR="00060B24" w:rsidRDefault="009A55F0">
            <w:pPr>
              <w:spacing w:before="240"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Доктори наук</w:t>
            </w:r>
          </w:p>
        </w:tc>
        <w:tc>
          <w:tcPr>
            <w:tcW w:w="2175" w:type="dxa"/>
          </w:tcPr>
          <w:p w:rsidR="00060B24" w:rsidRDefault="009A55F0">
            <w:pPr>
              <w:spacing w:before="240" w:after="24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Кандидати наук</w:t>
            </w:r>
          </w:p>
        </w:tc>
        <w:tc>
          <w:tcPr>
            <w:tcW w:w="2355" w:type="dxa"/>
            <w:vMerge/>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r>
      <w:tr w:rsidR="00060B24">
        <w:tc>
          <w:tcPr>
            <w:tcW w:w="3480" w:type="dxa"/>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c>
          <w:tcPr>
            <w:tcW w:w="1605" w:type="dxa"/>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2175" w:type="dxa"/>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2355" w:type="dxa"/>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rsidR="00060B24" w:rsidRDefault="00060B24">
      <w:pPr>
        <w:spacing w:line="240" w:lineRule="auto"/>
        <w:jc w:val="both"/>
        <w:rPr>
          <w:rFonts w:ascii="Times New Roman" w:eastAsia="Times New Roman" w:hAnsi="Times New Roman" w:cs="Times New Roman"/>
          <w:b/>
          <w:color w:val="000000"/>
          <w:sz w:val="24"/>
          <w:szCs w:val="24"/>
        </w:rPr>
      </w:pPr>
    </w:p>
    <w:p w:rsidR="00060B24" w:rsidRDefault="009A55F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ТЕМАТИЧНИЙ НАПРЯМ КОНКУРСУ ЗА ЯКИМ ЗДІЙСНЮЄТЬСЯ РЕАЛІЗАЦІЯ ПРОЄКТУ </w:t>
      </w:r>
      <w:r>
        <w:rPr>
          <w:rFonts w:ascii="Times New Roman" w:eastAsia="Times New Roman" w:hAnsi="Times New Roman" w:cs="Times New Roman"/>
          <w:sz w:val="24"/>
          <w:szCs w:val="24"/>
        </w:rPr>
        <w:t>(заповнюється відповідно до поданої заявки):</w:t>
      </w:r>
      <w:r>
        <w:rPr>
          <w:rFonts w:ascii="Times New Roman" w:eastAsia="Times New Roman" w:hAnsi="Times New Roman" w:cs="Times New Roman"/>
          <w:b/>
          <w:sz w:val="24"/>
          <w:szCs w:val="24"/>
        </w:rPr>
        <w:t xml:space="preserve"> </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Фундаментальні наукові дослідження в галузі природничих наук та математики.</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Фундаментальні дослідження в галузі наук про життя.</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Прикладні дослідження, що мають на меті створення технологій (включно з IT) та продуктів, які ґрунтуються на новітніх досягненнях фундаментальної науки.</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p>
    <w:p w:rsidR="00060B24" w:rsidRDefault="009A55F0">
      <w:pPr>
        <w:spacing w:line="240" w:lineRule="auto"/>
        <w:ind w:left="3"/>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4. ОПИС ПРОЄКТУ </w:t>
      </w:r>
      <w:r>
        <w:rPr>
          <w:rFonts w:ascii="Times New Roman" w:eastAsia="Times New Roman" w:hAnsi="Times New Roman" w:cs="Times New Roman"/>
          <w:color w:val="000000"/>
          <w:sz w:val="24"/>
          <w:szCs w:val="24"/>
        </w:rPr>
        <w:t>(заповнюється відповідно до поданої заявки)</w:t>
      </w:r>
    </w:p>
    <w:p w:rsidR="00060B24" w:rsidRDefault="00060B24">
      <w:pPr>
        <w:spacing w:line="240" w:lineRule="auto"/>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 xml:space="preserve">4.1. Мета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(до 500 знаків)</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Даним проектом передбачається створення нової дослідницької інфраструктурної одиниці</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потужного комп’ютерного кластера КНУ ім. Т. Шевченка, обладнаного пакетами</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 та проведення на ньому наукових досліджень в галузі фізики ядра, елементарних</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частинок, високих енергій, </w:t>
      </w:r>
      <w:proofErr w:type="spellStart"/>
      <w:r>
        <w:rPr>
          <w:rFonts w:ascii="Times New Roman" w:eastAsia="Times New Roman" w:hAnsi="Times New Roman" w:cs="Times New Roman"/>
          <w:sz w:val="24"/>
          <w:szCs w:val="24"/>
        </w:rPr>
        <w:t>хемо</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біоінформатики</w:t>
      </w:r>
      <w:proofErr w:type="spellEnd"/>
      <w:r>
        <w:rPr>
          <w:rFonts w:ascii="Times New Roman" w:eastAsia="Times New Roman" w:hAnsi="Times New Roman" w:cs="Times New Roman"/>
          <w:sz w:val="24"/>
          <w:szCs w:val="24"/>
        </w:rPr>
        <w:t>, штучного інтелекту та комп’ютерної</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лінгвістики.</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4.2. Основні завдання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color w:val="000000"/>
          <w:sz w:val="24"/>
          <w:szCs w:val="24"/>
        </w:rPr>
        <w:t xml:space="preserve"> (до 1000 знаків)</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Виконання симуляції експериментів з розпаду </w:t>
      </w:r>
      <w:proofErr w:type="spellStart"/>
      <w:r>
        <w:rPr>
          <w:rFonts w:ascii="Times New Roman" w:eastAsia="Times New Roman" w:hAnsi="Times New Roman" w:cs="Times New Roman"/>
          <w:sz w:val="24"/>
          <w:szCs w:val="24"/>
        </w:rPr>
        <w:t>динуклонних</w:t>
      </w:r>
      <w:proofErr w:type="spellEnd"/>
      <w:r>
        <w:rPr>
          <w:rFonts w:ascii="Times New Roman" w:eastAsia="Times New Roman" w:hAnsi="Times New Roman" w:cs="Times New Roman"/>
          <w:sz w:val="24"/>
          <w:szCs w:val="24"/>
        </w:rPr>
        <w:t xml:space="preserve"> систем, використовуючи машинне навчання, та проведення обробки й оптимізації відбору подій для визначення параметрів розпаду </w:t>
      </w:r>
      <w:proofErr w:type="spellStart"/>
      <w:r>
        <w:rPr>
          <w:rFonts w:ascii="Times New Roman" w:eastAsia="Times New Roman" w:hAnsi="Times New Roman" w:cs="Times New Roman"/>
          <w:sz w:val="24"/>
          <w:szCs w:val="24"/>
        </w:rPr>
        <w:t>динейтрона</w:t>
      </w:r>
      <w:proofErr w:type="spellEnd"/>
      <w:r>
        <w:rPr>
          <w:rFonts w:ascii="Times New Roman" w:eastAsia="Times New Roman" w:hAnsi="Times New Roman" w:cs="Times New Roman"/>
          <w:sz w:val="24"/>
          <w:szCs w:val="24"/>
        </w:rPr>
        <w:t xml:space="preserve">, проведення теоретичного моделювання опису процесів розпаду </w:t>
      </w:r>
      <w:proofErr w:type="spellStart"/>
      <w:r>
        <w:rPr>
          <w:rFonts w:ascii="Times New Roman" w:eastAsia="Times New Roman" w:hAnsi="Times New Roman" w:cs="Times New Roman"/>
          <w:sz w:val="24"/>
          <w:szCs w:val="24"/>
        </w:rPr>
        <w:t>двонуклонних</w:t>
      </w:r>
      <w:proofErr w:type="spellEnd"/>
      <w:r>
        <w:rPr>
          <w:rFonts w:ascii="Times New Roman" w:eastAsia="Times New Roman" w:hAnsi="Times New Roman" w:cs="Times New Roman"/>
          <w:sz w:val="24"/>
          <w:szCs w:val="24"/>
        </w:rPr>
        <w:t xml:space="preserve"> систем </w:t>
      </w:r>
      <w:proofErr w:type="spellStart"/>
      <w:r>
        <w:rPr>
          <w:rFonts w:ascii="Times New Roman" w:eastAsia="Times New Roman" w:hAnsi="Times New Roman" w:cs="Times New Roman"/>
          <w:sz w:val="24"/>
          <w:szCs w:val="24"/>
        </w:rPr>
        <w:t>динейтрона</w:t>
      </w:r>
      <w:proofErr w:type="spellEnd"/>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Напрацювання методів і підходів до прогнозування теплофізичних властивостей матеріалів і структур різної розмірності та морфології</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Інтеграція VIRGO.UA у платформу </w:t>
      </w:r>
      <w:proofErr w:type="spellStart"/>
      <w:r>
        <w:rPr>
          <w:rFonts w:ascii="Times New Roman" w:eastAsia="Times New Roman" w:hAnsi="Times New Roman" w:cs="Times New Roman"/>
          <w:sz w:val="24"/>
          <w:szCs w:val="24"/>
        </w:rPr>
        <w:t>Multi</w:t>
      </w:r>
      <w:proofErr w:type="spellEnd"/>
      <w:r>
        <w:rPr>
          <w:rFonts w:ascii="Times New Roman" w:eastAsia="Times New Roman" w:hAnsi="Times New Roman" w:cs="Times New Roman"/>
          <w:sz w:val="24"/>
          <w:szCs w:val="24"/>
        </w:rPr>
        <w:t xml:space="preserve">-Messenger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Визначення особливостей молекулярної структури, електронних взаємодій, реакційної здатності та механізмів реакцій отримання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 xml:space="preserve"> - потенційних будівельних блоків для </w:t>
      </w:r>
      <w:proofErr w:type="spellStart"/>
      <w:r>
        <w:rPr>
          <w:rFonts w:ascii="Times New Roman" w:eastAsia="Times New Roman" w:hAnsi="Times New Roman" w:cs="Times New Roman"/>
          <w:sz w:val="24"/>
          <w:szCs w:val="24"/>
        </w:rPr>
        <w:t>біо</w:t>
      </w:r>
      <w:proofErr w:type="spellEnd"/>
      <w:r>
        <w:rPr>
          <w:rFonts w:ascii="Times New Roman" w:eastAsia="Times New Roman" w:hAnsi="Times New Roman" w:cs="Times New Roman"/>
          <w:sz w:val="24"/>
          <w:szCs w:val="24"/>
        </w:rPr>
        <w:t>- та медичної хімії</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Передбачення потенційної біологічної активності нових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 xml:space="preserve">, зокрема,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 xml:space="preserve"> із структурних банків даних, використовуючи сучасні підходи </w:t>
      </w:r>
      <w:proofErr w:type="spellStart"/>
      <w:r>
        <w:rPr>
          <w:rFonts w:ascii="Times New Roman" w:eastAsia="Times New Roman" w:hAnsi="Times New Roman" w:cs="Times New Roman"/>
          <w:sz w:val="24"/>
          <w:szCs w:val="24"/>
        </w:rPr>
        <w:t>хемоінформатики</w:t>
      </w:r>
      <w:proofErr w:type="spellEnd"/>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Розроблення технології побудови великих нейронних лінгвістичних моделей</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Розроблення методів адаптації великих лінгвістичних моделей до різних мов</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rPr>
        <w:t>ЕВП</w:t>
      </w:r>
      <w:r>
        <w:rPr>
          <w:rFonts w:ascii="Times New Roman" w:eastAsia="Times New Roman" w:hAnsi="Times New Roman" w:cs="Times New Roman"/>
          <w:sz w:val="24"/>
          <w:szCs w:val="24"/>
        </w:rPr>
        <w:t xml:space="preserve"> № 1 (2024 рік)</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1.1 Розробка моделі спектрометру для спостереження </w:t>
      </w:r>
      <w:proofErr w:type="spellStart"/>
      <w:r>
        <w:rPr>
          <w:rFonts w:ascii="Times New Roman" w:eastAsia="Times New Roman" w:hAnsi="Times New Roman" w:cs="Times New Roman"/>
          <w:sz w:val="24"/>
          <w:szCs w:val="24"/>
        </w:rPr>
        <w:t>динейтрону</w:t>
      </w:r>
      <w:proofErr w:type="spellEnd"/>
      <w:r>
        <w:rPr>
          <w:rFonts w:ascii="Times New Roman" w:eastAsia="Times New Roman" w:hAnsi="Times New Roman" w:cs="Times New Roman"/>
          <w:sz w:val="24"/>
          <w:szCs w:val="24"/>
        </w:rPr>
        <w:t xml:space="preserve"> з використанням кодів GEANT, TALYS, а також налагодження взаємодії розрахунків на базі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скриптів</w:t>
      </w:r>
      <w:proofErr w:type="spellEnd"/>
      <w:r>
        <w:rPr>
          <w:rFonts w:ascii="Times New Roman" w:eastAsia="Times New Roman" w:hAnsi="Times New Roman" w:cs="Times New Roman"/>
          <w:sz w:val="24"/>
          <w:szCs w:val="24"/>
        </w:rPr>
        <w:t xml:space="preserve">. Підготовка програмних кодів для молекулярно-динамічного моделювання процесів теплового транспорту в </w:t>
      </w:r>
      <w:proofErr w:type="spellStart"/>
      <w:r>
        <w:rPr>
          <w:rFonts w:ascii="Times New Roman" w:eastAsia="Times New Roman" w:hAnsi="Times New Roman" w:cs="Times New Roman"/>
          <w:sz w:val="24"/>
          <w:szCs w:val="24"/>
        </w:rPr>
        <w:t>твердотільних</w:t>
      </w:r>
      <w:proofErr w:type="spellEnd"/>
      <w:r>
        <w:rPr>
          <w:rFonts w:ascii="Times New Roman" w:eastAsia="Times New Roman" w:hAnsi="Times New Roman" w:cs="Times New Roman"/>
          <w:sz w:val="24"/>
          <w:szCs w:val="24"/>
        </w:rPr>
        <w:t xml:space="preserve"> структурах, виконання тестових розрахунків коефіцієнта теплопровідності модельних </w:t>
      </w:r>
      <w:proofErr w:type="spellStart"/>
      <w:r>
        <w:rPr>
          <w:rFonts w:ascii="Times New Roman" w:eastAsia="Times New Roman" w:hAnsi="Times New Roman" w:cs="Times New Roman"/>
          <w:sz w:val="24"/>
          <w:szCs w:val="24"/>
        </w:rPr>
        <w:t>наноструктур</w:t>
      </w:r>
      <w:proofErr w:type="spellEnd"/>
      <w:r>
        <w:rPr>
          <w:rFonts w:ascii="Times New Roman" w:eastAsia="Times New Roman" w:hAnsi="Times New Roman" w:cs="Times New Roman"/>
          <w:sz w:val="24"/>
          <w:szCs w:val="24"/>
        </w:rPr>
        <w:t>.</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Отримання даних спостережень віддалено гамма- та нейтринних телескопів, для побудови фізичних моделей прискорення космічних променів та генерування багатоканальних сигналів від астрофізичних джерел (таких як </w:t>
      </w:r>
      <w:proofErr w:type="spellStart"/>
      <w:r>
        <w:rPr>
          <w:rFonts w:ascii="Times New Roman" w:eastAsia="Times New Roman" w:hAnsi="Times New Roman" w:cs="Times New Roman"/>
          <w:sz w:val="24"/>
          <w:szCs w:val="24"/>
        </w:rPr>
        <w:t>Cygnus</w:t>
      </w:r>
      <w:proofErr w:type="spellEnd"/>
      <w:r>
        <w:rPr>
          <w:rFonts w:ascii="Times New Roman" w:eastAsia="Times New Roman" w:hAnsi="Times New Roman" w:cs="Times New Roman"/>
          <w:sz w:val="24"/>
          <w:szCs w:val="24"/>
        </w:rPr>
        <w:t xml:space="preserve"> X та MGRO J1908+06). (КР3)</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2.1 Встановлення та тестування пакетів квантово-хімічних та програм для молекулярної механіки та динаміки, забезпечення віддаленого доступу до них, підготовка вхідних завдань. (КР4)</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Встановлення комерційних пакетів програм та пакетів із безкоштовною ліцензією на комп’ютерний кластер. Підготовка та виконання серії розрахункових тестів. Оцінка продуктивності вузлів кластера та створення оптимального режиму доступу та виділення ресурсів для окремих класів задач із врахуванням умов ліцензій. Проведення тестових розрахунків структур реальних молекул в різних наближеннях. Підготовка вхідних даних для виконання завдань 4.2-4.4.</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3.1 Розроблення методів тонкого налаштування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для виконання низки прикладних задач. (КР5)</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Тонке налаштування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є відносно простішою задачею, аніж побудова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тому виконання цих робіт доцільно планувати на перший етап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За базові </w:t>
      </w:r>
      <w:proofErr w:type="spellStart"/>
      <w:r>
        <w:rPr>
          <w:rFonts w:ascii="Times New Roman" w:eastAsia="Times New Roman" w:hAnsi="Times New Roman" w:cs="Times New Roman"/>
          <w:sz w:val="24"/>
          <w:szCs w:val="24"/>
        </w:rPr>
        <w:t>мовні</w:t>
      </w:r>
      <w:proofErr w:type="spellEnd"/>
      <w:r>
        <w:rPr>
          <w:rFonts w:ascii="Times New Roman" w:eastAsia="Times New Roman" w:hAnsi="Times New Roman" w:cs="Times New Roman"/>
          <w:sz w:val="24"/>
          <w:szCs w:val="24"/>
        </w:rPr>
        <w:t xml:space="preserve"> моделі будуть взяті наявні (BERT, GPT і </w:t>
      </w:r>
      <w:proofErr w:type="spellStart"/>
      <w:r>
        <w:rPr>
          <w:rFonts w:ascii="Times New Roman" w:eastAsia="Times New Roman" w:hAnsi="Times New Roman" w:cs="Times New Roman"/>
          <w:sz w:val="24"/>
          <w:szCs w:val="24"/>
        </w:rPr>
        <w:t>т.п</w:t>
      </w:r>
      <w:proofErr w:type="spellEnd"/>
      <w:r>
        <w:rPr>
          <w:rFonts w:ascii="Times New Roman" w:eastAsia="Times New Roman" w:hAnsi="Times New Roman" w:cs="Times New Roman"/>
          <w:sz w:val="24"/>
          <w:szCs w:val="24"/>
        </w:rPr>
        <w:t>.). Роботи складаються із побудови навчальних наборів даних, відповідних прикладним задачам, навчання моделі та проведення експериментів із замірювання якості роботи моделі. Результатом цього етапу, окрім самих оптимізованих методів налаштування, буде низка прикладних програм обробки текстів, таких як системи класифікації та розпізнавання текстів пропаганди, недостовірних новин (</w:t>
      </w:r>
      <w:proofErr w:type="spellStart"/>
      <w:r>
        <w:rPr>
          <w:rFonts w:ascii="Times New Roman" w:eastAsia="Times New Roman" w:hAnsi="Times New Roman" w:cs="Times New Roman"/>
          <w:sz w:val="24"/>
          <w:szCs w:val="24"/>
        </w:rPr>
        <w:t>fake-news</w:t>
      </w:r>
      <w:proofErr w:type="spellEnd"/>
      <w:r>
        <w:rPr>
          <w:rFonts w:ascii="Times New Roman" w:eastAsia="Times New Roman" w:hAnsi="Times New Roman" w:cs="Times New Roman"/>
          <w:sz w:val="24"/>
          <w:szCs w:val="24"/>
        </w:rPr>
        <w:t xml:space="preserve">) та інші. </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4.1 Запускові та тестові роботи по комплектації комп'ютерного кластеру. Проектування змін до архітектури обчислювального кластера ІОЦ з урахуванням встановлення нових вузлів зберігання даних, вузлів віртуалізації та обчислювальних вузлів. Розробка, тестування та впровадження політик, системного програмного забезпечення та його конфігурації для забезпечення колективного використання нового типу вузлів з графічними прискорювачами. Встановлення та тестування коректної роботи у конкурентному режимі використовуваного у </w:t>
      </w:r>
      <w:proofErr w:type="spellStart"/>
      <w:r>
        <w:rPr>
          <w:rFonts w:ascii="Times New Roman" w:eastAsia="Times New Roman" w:hAnsi="Times New Roman" w:cs="Times New Roman"/>
          <w:sz w:val="24"/>
          <w:szCs w:val="24"/>
        </w:rPr>
        <w:t>проєкті</w:t>
      </w:r>
      <w:proofErr w:type="spellEnd"/>
      <w:r>
        <w:rPr>
          <w:rFonts w:ascii="Times New Roman" w:eastAsia="Times New Roman" w:hAnsi="Times New Roman" w:cs="Times New Roman"/>
          <w:sz w:val="24"/>
          <w:szCs w:val="24"/>
        </w:rPr>
        <w:t xml:space="preserve"> прикладного програмного забезпечення. </w:t>
      </w:r>
      <w:proofErr w:type="spellStart"/>
      <w:r>
        <w:rPr>
          <w:rFonts w:ascii="Times New Roman" w:eastAsia="Times New Roman" w:hAnsi="Times New Roman" w:cs="Times New Roman"/>
          <w:sz w:val="24"/>
          <w:szCs w:val="24"/>
        </w:rPr>
        <w:t>Проєктування</w:t>
      </w:r>
      <w:proofErr w:type="spellEnd"/>
      <w:r>
        <w:rPr>
          <w:rFonts w:ascii="Times New Roman" w:eastAsia="Times New Roman" w:hAnsi="Times New Roman" w:cs="Times New Roman"/>
          <w:sz w:val="24"/>
          <w:szCs w:val="24"/>
        </w:rPr>
        <w:t xml:space="preserve"> та реалізація схеми розміщення обладнання для забезпечення рівномірного навантаження на системи енергоживлення та забезпечення температурного режиму роботи обладнання. (КР1)</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5.1 Проведення установчої зустрічі з визначення порядку дії, підписання угод про нерозголошення. Проведення зустрічі з Консультативною радою. (КР2)</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4.3. Детальний зміст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w:t>
      </w:r>
    </w:p>
    <w:p w:rsidR="00060B24" w:rsidRDefault="00060B24">
      <w:pPr>
        <w:spacing w:line="240" w:lineRule="auto"/>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Сучасний стан проблеми  (до 2  сторінок)</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Виконання наукових досліджень у різних галузях природничих наук вимагає </w:t>
      </w:r>
      <w:proofErr w:type="spellStart"/>
      <w:r>
        <w:rPr>
          <w:rFonts w:ascii="Times New Roman" w:eastAsia="Times New Roman" w:hAnsi="Times New Roman" w:cs="Times New Roman"/>
          <w:sz w:val="24"/>
          <w:szCs w:val="24"/>
        </w:rPr>
        <w:t>ресурсоємного</w:t>
      </w:r>
      <w:proofErr w:type="spellEnd"/>
      <w:r>
        <w:rPr>
          <w:rFonts w:ascii="Times New Roman" w:eastAsia="Times New Roman" w:hAnsi="Times New Roman" w:cs="Times New Roman"/>
          <w:sz w:val="24"/>
          <w:szCs w:val="24"/>
        </w:rPr>
        <w:t xml:space="preserve"> комп’ютерного моделювання з використанням потужних обчислювальних систем, потужність яких наближається до граничного можливої на даний час. Наявність високопродуктивного обчислювального ресурсу є необхідною умовою для кожної установи, яка претендує на </w:t>
      </w:r>
      <w:r>
        <w:rPr>
          <w:rFonts w:ascii="Times New Roman" w:eastAsia="Times New Roman" w:hAnsi="Times New Roman" w:cs="Times New Roman"/>
          <w:sz w:val="24"/>
          <w:szCs w:val="24"/>
        </w:rPr>
        <w:lastRenderedPageBreak/>
        <w:t xml:space="preserve">отримання наукових результатів світового рівня у галузях фізики, хімії, біології, інформаційних технологій. У провідних країнах світу комп’ютерні дослідження є невід’ємною і надзвичайно важливою частиною наукового та технічного прогресу. Так, в Німеччині уже багато років існують і постійно оновлюються гігантські </w:t>
      </w:r>
      <w:proofErr w:type="spellStart"/>
      <w:r>
        <w:rPr>
          <w:rFonts w:ascii="Times New Roman" w:eastAsia="Times New Roman" w:hAnsi="Times New Roman" w:cs="Times New Roman"/>
          <w:sz w:val="24"/>
          <w:szCs w:val="24"/>
        </w:rPr>
        <w:t>суперкомп’ютерні</w:t>
      </w:r>
      <w:proofErr w:type="spellEnd"/>
      <w:r>
        <w:rPr>
          <w:rFonts w:ascii="Times New Roman" w:eastAsia="Times New Roman" w:hAnsi="Times New Roman" w:cs="Times New Roman"/>
          <w:sz w:val="24"/>
          <w:szCs w:val="24"/>
        </w:rPr>
        <w:t xml:space="preserve"> кластери загальноєвропейського рівня в м. </w:t>
      </w:r>
      <w:proofErr w:type="spellStart"/>
      <w:r>
        <w:rPr>
          <w:rFonts w:ascii="Times New Roman" w:eastAsia="Times New Roman" w:hAnsi="Times New Roman" w:cs="Times New Roman"/>
          <w:sz w:val="24"/>
          <w:szCs w:val="24"/>
        </w:rPr>
        <w:t>Гархінг</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Rechenzentrum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Garching</w:t>
      </w:r>
      <w:proofErr w:type="spellEnd"/>
      <w:r>
        <w:rPr>
          <w:rFonts w:ascii="Times New Roman" w:eastAsia="Times New Roman" w:hAnsi="Times New Roman" w:cs="Times New Roman"/>
          <w:sz w:val="24"/>
          <w:szCs w:val="24"/>
        </w:rPr>
        <w:t xml:space="preserve">”, https://www.mpie.de/4065158/Hardware) та </w:t>
      </w:r>
      <w:proofErr w:type="spellStart"/>
      <w:r>
        <w:rPr>
          <w:rFonts w:ascii="Times New Roman" w:eastAsia="Times New Roman" w:hAnsi="Times New Roman" w:cs="Times New Roman"/>
          <w:sz w:val="24"/>
          <w:szCs w:val="24"/>
        </w:rPr>
        <w:t>Юліх</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Jülich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Supercomputing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https://jlsrf.org/index.php/lsf/article/view/167 ). Не менш потужні кластери існують в Японії, США та Китаї. Тому створення в Київському національному університеті імені Тараса Шевченка (КНУ) власного потужного комп’ютерного кластера є важливим та невідкладним завданням. Воно стало би поштовхом для наукових досліджень, досвід яких вже є у науковців різних підрозділів університету і для виконання яких їм не треба було б шукати ресурсні можливості за кордоном. Такі дослідження вже започатковані у галузях ядерної фізики (фізичний факультет КНУ), комп’ютерної хімії та </w:t>
      </w:r>
      <w:proofErr w:type="spellStart"/>
      <w:r>
        <w:rPr>
          <w:rFonts w:ascii="Times New Roman" w:eastAsia="Times New Roman" w:hAnsi="Times New Roman" w:cs="Times New Roman"/>
          <w:sz w:val="24"/>
          <w:szCs w:val="24"/>
        </w:rPr>
        <w:t>хемо</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біоінформатики</w:t>
      </w:r>
      <w:proofErr w:type="spellEnd"/>
      <w:r>
        <w:rPr>
          <w:rFonts w:ascii="Times New Roman" w:eastAsia="Times New Roman" w:hAnsi="Times New Roman" w:cs="Times New Roman"/>
          <w:sz w:val="24"/>
          <w:szCs w:val="24"/>
        </w:rPr>
        <w:t xml:space="preserve"> (Навчально-науковий Інститут високих технологій КНУ), штучного інтелекту та комп'ютерної лінгвістики (факультет комп’ютерних наук та кібернетики КНУ). </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кафедрі ядерної фізики та високих енергій фізичного факультету вперше було отримано експериментальні дані щодо існування </w:t>
      </w:r>
      <w:proofErr w:type="spellStart"/>
      <w:r>
        <w:rPr>
          <w:rFonts w:ascii="Times New Roman" w:eastAsia="Times New Roman" w:hAnsi="Times New Roman" w:cs="Times New Roman"/>
          <w:sz w:val="24"/>
          <w:szCs w:val="24"/>
        </w:rPr>
        <w:t>двонуклонних</w:t>
      </w:r>
      <w:proofErr w:type="spellEnd"/>
      <w:r>
        <w:rPr>
          <w:rFonts w:ascii="Times New Roman" w:eastAsia="Times New Roman" w:hAnsi="Times New Roman" w:cs="Times New Roman"/>
          <w:sz w:val="24"/>
          <w:szCs w:val="24"/>
        </w:rPr>
        <w:t xml:space="preserve"> зв'язаних систем, </w:t>
      </w:r>
      <w:proofErr w:type="spellStart"/>
      <w:r>
        <w:rPr>
          <w:rFonts w:ascii="Times New Roman" w:eastAsia="Times New Roman" w:hAnsi="Times New Roman" w:cs="Times New Roman"/>
          <w:sz w:val="24"/>
          <w:szCs w:val="24"/>
        </w:rPr>
        <w:t>динейтрона</w:t>
      </w:r>
      <w:proofErr w:type="spellEnd"/>
      <w:r>
        <w:rPr>
          <w:rFonts w:ascii="Times New Roman" w:eastAsia="Times New Roman" w:hAnsi="Times New Roman" w:cs="Times New Roman"/>
          <w:sz w:val="24"/>
          <w:szCs w:val="24"/>
        </w:rPr>
        <w:t xml:space="preserve"> та </w:t>
      </w:r>
      <w:proofErr w:type="spellStart"/>
      <w:r>
        <w:rPr>
          <w:rFonts w:ascii="Times New Roman" w:eastAsia="Times New Roman" w:hAnsi="Times New Roman" w:cs="Times New Roman"/>
          <w:sz w:val="24"/>
          <w:szCs w:val="24"/>
        </w:rPr>
        <w:t>дипротона</w:t>
      </w:r>
      <w:proofErr w:type="spellEnd"/>
      <w:r>
        <w:rPr>
          <w:rFonts w:ascii="Times New Roman" w:eastAsia="Times New Roman" w:hAnsi="Times New Roman" w:cs="Times New Roman"/>
          <w:sz w:val="24"/>
          <w:szCs w:val="24"/>
        </w:rPr>
        <w:t xml:space="preserve">, проф. І.М. </w:t>
      </w:r>
      <w:proofErr w:type="spellStart"/>
      <w:r>
        <w:rPr>
          <w:rFonts w:ascii="Times New Roman" w:eastAsia="Times New Roman" w:hAnsi="Times New Roman" w:cs="Times New Roman"/>
          <w:sz w:val="24"/>
          <w:szCs w:val="24"/>
        </w:rPr>
        <w:t>Каденком</w:t>
      </w:r>
      <w:proofErr w:type="spellEnd"/>
      <w:r>
        <w:rPr>
          <w:rFonts w:ascii="Times New Roman" w:eastAsia="Times New Roman" w:hAnsi="Times New Roman" w:cs="Times New Roman"/>
          <w:sz w:val="24"/>
          <w:szCs w:val="24"/>
        </w:rPr>
        <w:t xml:space="preserve"> [1-4]. Існування вказаних </w:t>
      </w:r>
      <w:proofErr w:type="spellStart"/>
      <w:r>
        <w:rPr>
          <w:rFonts w:ascii="Times New Roman" w:eastAsia="Times New Roman" w:hAnsi="Times New Roman" w:cs="Times New Roman"/>
          <w:sz w:val="24"/>
          <w:szCs w:val="24"/>
        </w:rPr>
        <w:t>двонуклонних</w:t>
      </w:r>
      <w:proofErr w:type="spellEnd"/>
      <w:r>
        <w:rPr>
          <w:rFonts w:ascii="Times New Roman" w:eastAsia="Times New Roman" w:hAnsi="Times New Roman" w:cs="Times New Roman"/>
          <w:sz w:val="24"/>
          <w:szCs w:val="24"/>
        </w:rPr>
        <w:t xml:space="preserve"> систем узгоджується з теоретичними передбаченнями А.Б. </w:t>
      </w:r>
      <w:proofErr w:type="spellStart"/>
      <w:r>
        <w:rPr>
          <w:rFonts w:ascii="Times New Roman" w:eastAsia="Times New Roman" w:hAnsi="Times New Roman" w:cs="Times New Roman"/>
          <w:sz w:val="24"/>
          <w:szCs w:val="24"/>
        </w:rPr>
        <w:t>Мігдала</w:t>
      </w:r>
      <w:proofErr w:type="spellEnd"/>
      <w:r>
        <w:rPr>
          <w:rFonts w:ascii="Times New Roman" w:eastAsia="Times New Roman" w:hAnsi="Times New Roman" w:cs="Times New Roman"/>
          <w:sz w:val="24"/>
          <w:szCs w:val="24"/>
        </w:rPr>
        <w:t xml:space="preserve"> [5]. Для подальших теоретичних досліджень потрібно буде розглянути </w:t>
      </w:r>
      <w:proofErr w:type="spellStart"/>
      <w:r>
        <w:rPr>
          <w:rFonts w:ascii="Times New Roman" w:eastAsia="Times New Roman" w:hAnsi="Times New Roman" w:cs="Times New Roman"/>
          <w:sz w:val="24"/>
          <w:szCs w:val="24"/>
        </w:rPr>
        <w:t>багаточастинкову</w:t>
      </w:r>
      <w:proofErr w:type="spellEnd"/>
      <w:r>
        <w:rPr>
          <w:rFonts w:ascii="Times New Roman" w:eastAsia="Times New Roman" w:hAnsi="Times New Roman" w:cs="Times New Roman"/>
          <w:sz w:val="24"/>
          <w:szCs w:val="24"/>
        </w:rPr>
        <w:t xml:space="preserve"> задачу з метою розрахунку значень рівнів енергій можливих енергетичних станів </w:t>
      </w:r>
      <w:proofErr w:type="spellStart"/>
      <w:r>
        <w:rPr>
          <w:rFonts w:ascii="Times New Roman" w:eastAsia="Times New Roman" w:hAnsi="Times New Roman" w:cs="Times New Roman"/>
          <w:sz w:val="24"/>
          <w:szCs w:val="24"/>
        </w:rPr>
        <w:t>двонуклонних</w:t>
      </w:r>
      <w:proofErr w:type="spellEnd"/>
      <w:r>
        <w:rPr>
          <w:rFonts w:ascii="Times New Roman" w:eastAsia="Times New Roman" w:hAnsi="Times New Roman" w:cs="Times New Roman"/>
          <w:sz w:val="24"/>
          <w:szCs w:val="24"/>
        </w:rPr>
        <w:t xml:space="preserve"> систем. Інша актуальна задача сучасної фізики і матеріалознавства - це створення нових матеріалів для контрольованого теплового транспорту в пристроях і схемах новітньої електроніки, оптотехніки, альтернативної енергетики [6-8]. Для вирішення цієї задачі необхідним є аналіз процесів теплового транспорту в матеріалах на атомарному рівні, реалізація якого можлива із залученням сучасних методів комп’ютерного моделювання та алгоритмів паралельних високопродуктивних обчислень. Також науковці КНУ імені Тараса Шевченка є залученими до проведення досліджень з використанням спостережень на провідних рентгенівських та гамма-телескопах сучасності з використанням </w:t>
      </w:r>
      <w:proofErr w:type="spellStart"/>
      <w:r>
        <w:rPr>
          <w:rFonts w:ascii="Times New Roman" w:eastAsia="Times New Roman" w:hAnsi="Times New Roman" w:cs="Times New Roman"/>
          <w:sz w:val="24"/>
          <w:szCs w:val="24"/>
        </w:rPr>
        <w:t>ВІртуальної</w:t>
      </w:r>
      <w:proofErr w:type="spellEnd"/>
      <w:r>
        <w:rPr>
          <w:rFonts w:ascii="Times New Roman" w:eastAsia="Times New Roman" w:hAnsi="Times New Roman" w:cs="Times New Roman"/>
          <w:sz w:val="24"/>
          <w:szCs w:val="24"/>
        </w:rPr>
        <w:t xml:space="preserve"> Рентгенівської та Гамма-Обсерваторії (VIRGO.UA) – наукового центру астрофізики високих </w:t>
      </w:r>
      <w:proofErr w:type="spellStart"/>
      <w:r>
        <w:rPr>
          <w:rFonts w:ascii="Times New Roman" w:eastAsia="Times New Roman" w:hAnsi="Times New Roman" w:cs="Times New Roman"/>
          <w:sz w:val="24"/>
          <w:szCs w:val="24"/>
        </w:rPr>
        <w:t>енергіи</w:t>
      </w:r>
      <w:proofErr w:type="spellEnd"/>
      <w:r>
        <w:rPr>
          <w:rFonts w:ascii="Times New Roman" w:eastAsia="Times New Roman" w:hAnsi="Times New Roman" w:cs="Times New Roman"/>
          <w:sz w:val="24"/>
          <w:szCs w:val="24"/>
        </w:rPr>
        <w:t>̆. Зі створенням потужного комп’ютерного кластера КНУ буде повноправним учасником цих досліджень.</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Комплекс задач у галузі теоретичної хімії та </w:t>
      </w:r>
      <w:proofErr w:type="spellStart"/>
      <w:r>
        <w:rPr>
          <w:rFonts w:ascii="Times New Roman" w:eastAsia="Times New Roman" w:hAnsi="Times New Roman" w:cs="Times New Roman"/>
          <w:sz w:val="24"/>
          <w:szCs w:val="24"/>
        </w:rPr>
        <w:t>хемоінформатики</w:t>
      </w:r>
      <w:proofErr w:type="spellEnd"/>
      <w:r>
        <w:rPr>
          <w:rFonts w:ascii="Times New Roman" w:eastAsia="Times New Roman" w:hAnsi="Times New Roman" w:cs="Times New Roman"/>
          <w:sz w:val="24"/>
          <w:szCs w:val="24"/>
        </w:rPr>
        <w:t xml:space="preserve">, вирішення яких значно прискорилося б зі створенням кластера вже знаходиться у фокусі науковців Навчально-наукового Інституту високих технологій КНУ. З кінця 20-го – початку 21 сторіччя надзвичайно зросла роль теоретичної (квантової) хімії як джерела інформації про структуру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 xml:space="preserve"> [9] та механізми хімічних реакцій [10, 11]. Використання квантової хімії, молекулярної динаміки та молекулярного </w:t>
      </w:r>
      <w:proofErr w:type="spellStart"/>
      <w:r>
        <w:rPr>
          <w:rFonts w:ascii="Times New Roman" w:eastAsia="Times New Roman" w:hAnsi="Times New Roman" w:cs="Times New Roman"/>
          <w:sz w:val="24"/>
          <w:szCs w:val="24"/>
        </w:rPr>
        <w:t>докінгу</w:t>
      </w:r>
      <w:proofErr w:type="spellEnd"/>
      <w:r>
        <w:rPr>
          <w:rFonts w:ascii="Times New Roman" w:eastAsia="Times New Roman" w:hAnsi="Times New Roman" w:cs="Times New Roman"/>
          <w:sz w:val="24"/>
          <w:szCs w:val="24"/>
        </w:rPr>
        <w:t xml:space="preserve"> є все більш значущим та актуальним для моделювання взаємодій субстрат-рецептор, дослідження структури протеїнів, нуклеїнових кислот та інших наукових проблем </w:t>
      </w:r>
      <w:proofErr w:type="spellStart"/>
      <w:r>
        <w:rPr>
          <w:rFonts w:ascii="Times New Roman" w:eastAsia="Times New Roman" w:hAnsi="Times New Roman" w:cs="Times New Roman"/>
          <w:sz w:val="24"/>
          <w:szCs w:val="24"/>
        </w:rPr>
        <w:t>біо</w:t>
      </w:r>
      <w:proofErr w:type="spellEnd"/>
      <w:r>
        <w:rPr>
          <w:rFonts w:ascii="Times New Roman" w:eastAsia="Times New Roman" w:hAnsi="Times New Roman" w:cs="Times New Roman"/>
          <w:sz w:val="24"/>
          <w:szCs w:val="24"/>
        </w:rPr>
        <w:t xml:space="preserve">- та медичної хімії, зрештою, для винайдення нових лікарських засобів та функціональних матеріалів [12]. Через відсутність власної розрахункової бази та ліцензійних програмних продуктів, для проведення таких досліджень на сучасному рівні викладачі та співробітники КНУ вимушено використовують власні обмежені можливості. </w:t>
      </w:r>
      <w:r>
        <w:rPr>
          <w:rFonts w:ascii="Times New Roman" w:eastAsia="Times New Roman" w:hAnsi="Times New Roman" w:cs="Times New Roman"/>
          <w:sz w:val="24"/>
          <w:szCs w:val="24"/>
        </w:rPr>
        <w:tab/>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Ще однією з галузей, що бурхливо розвивається останніми десятиріччями і є надзвичайно перспективною для прискорення науково-технічного прогресу, є машинне навчання та штучний інтелект. У сучасних системах штучного інтелекту широко застосовують великі нейронні моделі, створення яких вимагає потужних обчислювальних ресурсів. Основою інтелектуальних методів обробки текстів є великі </w:t>
      </w:r>
      <w:proofErr w:type="spellStart"/>
      <w:r>
        <w:rPr>
          <w:rFonts w:ascii="Times New Roman" w:eastAsia="Times New Roman" w:hAnsi="Times New Roman" w:cs="Times New Roman"/>
          <w:sz w:val="24"/>
          <w:szCs w:val="24"/>
        </w:rPr>
        <w:t>нейромережеві</w:t>
      </w:r>
      <w:proofErr w:type="spellEnd"/>
      <w:r>
        <w:rPr>
          <w:rFonts w:ascii="Times New Roman" w:eastAsia="Times New Roman" w:hAnsi="Times New Roman" w:cs="Times New Roman"/>
          <w:sz w:val="24"/>
          <w:szCs w:val="24"/>
        </w:rPr>
        <w:t xml:space="preserve"> лінгвістичні моделі (</w:t>
      </w:r>
      <w:proofErr w:type="spellStart"/>
      <w:r>
        <w:rPr>
          <w:rFonts w:ascii="Times New Roman" w:eastAsia="Times New Roman" w:hAnsi="Times New Roman" w:cs="Times New Roman"/>
          <w:sz w:val="24"/>
          <w:szCs w:val="24"/>
        </w:rPr>
        <w:t>Large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Linguistic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Models</w:t>
      </w:r>
      <w:proofErr w:type="spellEnd"/>
      <w:r>
        <w:rPr>
          <w:rFonts w:ascii="Times New Roman" w:eastAsia="Times New Roman" w:hAnsi="Times New Roman" w:cs="Times New Roman"/>
          <w:sz w:val="24"/>
          <w:szCs w:val="24"/>
        </w:rPr>
        <w:t xml:space="preserve">) такі, як </w:t>
      </w:r>
      <w:proofErr w:type="spellStart"/>
      <w:r>
        <w:rPr>
          <w:rFonts w:ascii="Times New Roman" w:eastAsia="Times New Roman" w:hAnsi="Times New Roman" w:cs="Times New Roman"/>
          <w:sz w:val="24"/>
          <w:szCs w:val="24"/>
        </w:rPr>
        <w:t>Bert</w:t>
      </w:r>
      <w:proofErr w:type="spellEnd"/>
      <w:r>
        <w:rPr>
          <w:rFonts w:ascii="Times New Roman" w:eastAsia="Times New Roman" w:hAnsi="Times New Roman" w:cs="Times New Roman"/>
          <w:sz w:val="24"/>
          <w:szCs w:val="24"/>
        </w:rPr>
        <w:t xml:space="preserve"> [13], </w:t>
      </w:r>
      <w:proofErr w:type="spellStart"/>
      <w:r>
        <w:rPr>
          <w:rFonts w:ascii="Times New Roman" w:eastAsia="Times New Roman" w:hAnsi="Times New Roman" w:cs="Times New Roman"/>
          <w:sz w:val="24"/>
          <w:szCs w:val="24"/>
        </w:rPr>
        <w:t>AlBert</w:t>
      </w:r>
      <w:proofErr w:type="spellEnd"/>
      <w:r>
        <w:rPr>
          <w:rFonts w:ascii="Times New Roman" w:eastAsia="Times New Roman" w:hAnsi="Times New Roman" w:cs="Times New Roman"/>
          <w:sz w:val="24"/>
          <w:szCs w:val="24"/>
        </w:rPr>
        <w:t xml:space="preserve"> [14], </w:t>
      </w:r>
      <w:proofErr w:type="spellStart"/>
      <w:r>
        <w:rPr>
          <w:rFonts w:ascii="Times New Roman" w:eastAsia="Times New Roman" w:hAnsi="Times New Roman" w:cs="Times New Roman"/>
          <w:sz w:val="24"/>
          <w:szCs w:val="24"/>
        </w:rPr>
        <w:t>RoBERTa</w:t>
      </w:r>
      <w:proofErr w:type="spellEnd"/>
      <w:r>
        <w:rPr>
          <w:rFonts w:ascii="Times New Roman" w:eastAsia="Times New Roman" w:hAnsi="Times New Roman" w:cs="Times New Roman"/>
          <w:sz w:val="24"/>
          <w:szCs w:val="24"/>
        </w:rPr>
        <w:t xml:space="preserve"> [15], GPT-4 [16],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[17], побудовані на основі архітектури типу «</w:t>
      </w:r>
      <w:proofErr w:type="spellStart"/>
      <w:r>
        <w:rPr>
          <w:rFonts w:ascii="Times New Roman" w:eastAsia="Times New Roman" w:hAnsi="Times New Roman" w:cs="Times New Roman"/>
          <w:sz w:val="24"/>
          <w:szCs w:val="24"/>
        </w:rPr>
        <w:t>трансформер</w:t>
      </w:r>
      <w:proofErr w:type="spellEnd"/>
      <w:r>
        <w:rPr>
          <w:rFonts w:ascii="Times New Roman" w:eastAsia="Times New Roman" w:hAnsi="Times New Roman" w:cs="Times New Roman"/>
          <w:sz w:val="24"/>
          <w:szCs w:val="24"/>
        </w:rPr>
        <w:t xml:space="preserve">», які навчаються на великих текстах обсягом у сотні гігабайтів. Для створення конкретних прикладних лінгвістичних систем використовують </w:t>
      </w:r>
      <w:proofErr w:type="spellStart"/>
      <w:r>
        <w:rPr>
          <w:rFonts w:ascii="Times New Roman" w:eastAsia="Times New Roman" w:hAnsi="Times New Roman" w:cs="Times New Roman"/>
          <w:sz w:val="24"/>
          <w:szCs w:val="24"/>
        </w:rPr>
        <w:t>донавчання</w:t>
      </w:r>
      <w:proofErr w:type="spellEnd"/>
      <w:r>
        <w:rPr>
          <w:rFonts w:ascii="Times New Roman" w:eastAsia="Times New Roman" w:hAnsi="Times New Roman" w:cs="Times New Roman"/>
          <w:sz w:val="24"/>
          <w:szCs w:val="24"/>
        </w:rPr>
        <w:t xml:space="preserve"> наперед навченої великої лінгвістичної моделі  або її тонке налаштування (</w:t>
      </w:r>
      <w:proofErr w:type="spellStart"/>
      <w:r>
        <w:rPr>
          <w:rFonts w:ascii="Times New Roman" w:eastAsia="Times New Roman" w:hAnsi="Times New Roman" w:cs="Times New Roman"/>
          <w:sz w:val="24"/>
          <w:szCs w:val="24"/>
        </w:rPr>
        <w:t>fine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tuning</w:t>
      </w:r>
      <w:proofErr w:type="spellEnd"/>
      <w:r>
        <w:rPr>
          <w:rFonts w:ascii="Times New Roman" w:eastAsia="Times New Roman" w:hAnsi="Times New Roman" w:cs="Times New Roman"/>
          <w:sz w:val="24"/>
          <w:szCs w:val="24"/>
        </w:rPr>
        <w:t xml:space="preserve">) до конкретної прикладної задачі. Донедавна дослідження та розробка моделей і методів орієнтувалися лише на англомовні тексти. Для створення систем обробки текстів українською мовою необхідно будувати великі лінгвістичні моделі на основі україномовних текстів, а для цього, в свою чергу, необхідне застосування машин з якомога більшою кількістю </w:t>
      </w:r>
      <w:proofErr w:type="spellStart"/>
      <w:r>
        <w:rPr>
          <w:rFonts w:ascii="Times New Roman" w:eastAsia="Times New Roman" w:hAnsi="Times New Roman" w:cs="Times New Roman"/>
          <w:sz w:val="24"/>
          <w:szCs w:val="24"/>
        </w:rPr>
        <w:t>відеокарт</w:t>
      </w:r>
      <w:proofErr w:type="spellEnd"/>
      <w:r>
        <w:rPr>
          <w:rFonts w:ascii="Times New Roman" w:eastAsia="Times New Roman" w:hAnsi="Times New Roman" w:cs="Times New Roman"/>
          <w:sz w:val="24"/>
          <w:szCs w:val="24"/>
        </w:rPr>
        <w:t xml:space="preserve"> типу V100/A100 або їх аналогів, що й планується за </w:t>
      </w:r>
      <w:proofErr w:type="spellStart"/>
      <w:r>
        <w:rPr>
          <w:rFonts w:ascii="Times New Roman" w:eastAsia="Times New Roman" w:hAnsi="Times New Roman" w:cs="Times New Roman"/>
          <w:sz w:val="24"/>
          <w:szCs w:val="24"/>
        </w:rPr>
        <w:t>проєктом</w:t>
      </w:r>
      <w:proofErr w:type="spellEnd"/>
      <w:r>
        <w:rPr>
          <w:rFonts w:ascii="Times New Roman" w:eastAsia="Times New Roman" w:hAnsi="Times New Roman" w:cs="Times New Roman"/>
          <w:sz w:val="24"/>
          <w:szCs w:val="24"/>
        </w:rPr>
        <w:t>.</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Наразі, наявні технічні та фінансові можливості університетів та наукових установ в Україні не дозволяють створювати власні достатньо потужні комп’ютерні центри для проведення конкурентних наукових досліджень, що відповідали б сучасним стандартам, без залучення грантового фінансування.</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Список використаних джерел.</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Kadenko</w:t>
      </w:r>
      <w:proofErr w:type="spellEnd"/>
      <w:r>
        <w:rPr>
          <w:rFonts w:ascii="Times New Roman" w:eastAsia="Times New Roman" w:hAnsi="Times New Roman" w:cs="Times New Roman"/>
          <w:color w:val="000000"/>
          <w:sz w:val="24"/>
          <w:szCs w:val="24"/>
        </w:rPr>
        <w:t xml:space="preserve">, I. (2016) </w:t>
      </w:r>
      <w:proofErr w:type="spellStart"/>
      <w:r>
        <w:rPr>
          <w:rFonts w:ascii="Times New Roman" w:eastAsia="Times New Roman" w:hAnsi="Times New Roman" w:cs="Times New Roman"/>
          <w:color w:val="000000"/>
          <w:sz w:val="24"/>
          <w:szCs w:val="24"/>
        </w:rPr>
        <w:t>Possible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observation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dineutron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159Tb (n, 2n) 158gTb </w:t>
      </w:r>
      <w:proofErr w:type="spellStart"/>
      <w:r>
        <w:rPr>
          <w:rFonts w:ascii="Times New Roman" w:eastAsia="Times New Roman" w:hAnsi="Times New Roman" w:cs="Times New Roman"/>
          <w:color w:val="000000"/>
          <w:sz w:val="24"/>
          <w:szCs w:val="24"/>
        </w:rPr>
        <w:t>nuclear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reaction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Europhysics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Lett</w:t>
      </w:r>
      <w:proofErr w:type="spellEnd"/>
      <w:r>
        <w:rPr>
          <w:rFonts w:ascii="Times New Roman" w:eastAsia="Times New Roman" w:hAnsi="Times New Roman" w:cs="Times New Roman"/>
          <w:color w:val="000000"/>
          <w:sz w:val="24"/>
          <w:szCs w:val="24"/>
        </w:rPr>
        <w:t>. 114, 42001. https://doi.org/10.1209/0295-5075/114/42001.</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Kadenko</w:t>
      </w:r>
      <w:proofErr w:type="spellEnd"/>
      <w:r>
        <w:rPr>
          <w:rFonts w:ascii="Times New Roman" w:eastAsia="Times New Roman" w:hAnsi="Times New Roman" w:cs="Times New Roman"/>
          <w:color w:val="000000"/>
          <w:sz w:val="24"/>
          <w:szCs w:val="24"/>
        </w:rPr>
        <w:t xml:space="preserve">, I.M., </w:t>
      </w:r>
      <w:proofErr w:type="spellStart"/>
      <w:r>
        <w:rPr>
          <w:rFonts w:ascii="Times New Roman" w:eastAsia="Times New Roman" w:hAnsi="Times New Roman" w:cs="Times New Roman"/>
          <w:color w:val="000000"/>
          <w:sz w:val="24"/>
          <w:szCs w:val="24"/>
        </w:rPr>
        <w:t>Biró</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Fenyvesi</w:t>
      </w:r>
      <w:proofErr w:type="spellEnd"/>
      <w:r>
        <w:rPr>
          <w:rFonts w:ascii="Times New Roman" w:eastAsia="Times New Roman" w:hAnsi="Times New Roman" w:cs="Times New Roman"/>
          <w:color w:val="000000"/>
          <w:sz w:val="24"/>
          <w:szCs w:val="24"/>
        </w:rPr>
        <w:t xml:space="preserve">, A. (2020) </w:t>
      </w:r>
      <w:proofErr w:type="spellStart"/>
      <w:r>
        <w:rPr>
          <w:rFonts w:ascii="Times New Roman" w:eastAsia="Times New Roman" w:hAnsi="Times New Roman" w:cs="Times New Roman"/>
          <w:color w:val="000000"/>
          <w:sz w:val="24"/>
          <w:szCs w:val="24"/>
        </w:rPr>
        <w:t>Statistically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significant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observation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cross-sections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new</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nuclear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reaction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channel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w:t>
      </w:r>
      <w:proofErr w:type="spellEnd"/>
      <w:r>
        <w:rPr>
          <w:rFonts w:ascii="Times New Roman" w:eastAsia="Times New Roman" w:hAnsi="Times New Roman" w:cs="Times New Roman"/>
          <w:color w:val="000000"/>
          <w:sz w:val="24"/>
          <w:szCs w:val="24"/>
        </w:rPr>
        <w:t xml:space="preserve"> 197Au </w:t>
      </w:r>
      <w:proofErr w:type="spellStart"/>
      <w:r>
        <w:rPr>
          <w:rFonts w:ascii="Times New Roman" w:eastAsia="Times New Roman" w:hAnsi="Times New Roman" w:cs="Times New Roman"/>
          <w:color w:val="000000"/>
          <w:sz w:val="24"/>
          <w:szCs w:val="24"/>
        </w:rPr>
        <w:t>with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bound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dineutron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escape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Europhysics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Lett</w:t>
      </w:r>
      <w:proofErr w:type="spellEnd"/>
      <w:r>
        <w:rPr>
          <w:rFonts w:ascii="Times New Roman" w:eastAsia="Times New Roman" w:hAnsi="Times New Roman" w:cs="Times New Roman"/>
          <w:color w:val="000000"/>
          <w:sz w:val="24"/>
          <w:szCs w:val="24"/>
        </w:rPr>
        <w:t>. 131, 52001. https://doi.org/10.1209/0295-5075/131/52001.</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Kadenko</w:t>
      </w:r>
      <w:proofErr w:type="spellEnd"/>
      <w:r>
        <w:rPr>
          <w:rFonts w:ascii="Times New Roman" w:eastAsia="Times New Roman" w:hAnsi="Times New Roman" w:cs="Times New Roman"/>
          <w:color w:val="000000"/>
          <w:sz w:val="24"/>
          <w:szCs w:val="24"/>
        </w:rPr>
        <w:t xml:space="preserve">, I.M. (2019) A </w:t>
      </w:r>
      <w:proofErr w:type="spellStart"/>
      <w:r>
        <w:rPr>
          <w:rFonts w:ascii="Times New Roman" w:eastAsia="Times New Roman" w:hAnsi="Times New Roman" w:cs="Times New Roman"/>
          <w:color w:val="000000"/>
          <w:sz w:val="24"/>
          <w:szCs w:val="24"/>
        </w:rPr>
        <w:t>New</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Type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Nuclear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Reaction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w:t>
      </w:r>
      <w:proofErr w:type="spellEnd"/>
      <w:r>
        <w:rPr>
          <w:rFonts w:ascii="Times New Roman" w:eastAsia="Times New Roman" w:hAnsi="Times New Roman" w:cs="Times New Roman"/>
          <w:color w:val="000000"/>
          <w:sz w:val="24"/>
          <w:szCs w:val="24"/>
        </w:rPr>
        <w:t xml:space="preserve"> 159Tb </w:t>
      </w:r>
      <w:proofErr w:type="spell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Outgoing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Channel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Considering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Observation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Bound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Dineutron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Acta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Phys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Pol</w:t>
      </w:r>
      <w:proofErr w:type="spellEnd"/>
      <w:r>
        <w:rPr>
          <w:rFonts w:ascii="Times New Roman" w:eastAsia="Times New Roman" w:hAnsi="Times New Roman" w:cs="Times New Roman"/>
          <w:color w:val="000000"/>
          <w:sz w:val="24"/>
          <w:szCs w:val="24"/>
        </w:rPr>
        <w:t>. B. 50, 55. https://doi.org/10.5506/APhysPolB.50.55.</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Kadenko</w:t>
      </w:r>
      <w:proofErr w:type="spellEnd"/>
      <w:r>
        <w:rPr>
          <w:rFonts w:ascii="Times New Roman" w:eastAsia="Times New Roman" w:hAnsi="Times New Roman" w:cs="Times New Roman"/>
          <w:color w:val="000000"/>
          <w:sz w:val="24"/>
          <w:szCs w:val="24"/>
        </w:rPr>
        <w:t xml:space="preserve">, I.M., </w:t>
      </w:r>
      <w:proofErr w:type="spellStart"/>
      <w:r>
        <w:rPr>
          <w:rFonts w:ascii="Times New Roman" w:eastAsia="Times New Roman" w:hAnsi="Times New Roman" w:cs="Times New Roman"/>
          <w:color w:val="000000"/>
          <w:sz w:val="24"/>
          <w:szCs w:val="24"/>
        </w:rPr>
        <w:t>Sakhno</w:t>
      </w:r>
      <w:proofErr w:type="spellEnd"/>
      <w:r>
        <w:rPr>
          <w:rFonts w:ascii="Times New Roman" w:eastAsia="Times New Roman" w:hAnsi="Times New Roman" w:cs="Times New Roman"/>
          <w:color w:val="000000"/>
          <w:sz w:val="24"/>
          <w:szCs w:val="24"/>
        </w:rPr>
        <w:t xml:space="preserve">, N. V., </w:t>
      </w:r>
      <w:proofErr w:type="spellStart"/>
      <w:r>
        <w:rPr>
          <w:rFonts w:ascii="Times New Roman" w:eastAsia="Times New Roman" w:hAnsi="Times New Roman" w:cs="Times New Roman"/>
          <w:color w:val="000000"/>
          <w:sz w:val="24"/>
          <w:szCs w:val="24"/>
        </w:rPr>
        <w:t>Gorbachenko</w:t>
      </w:r>
      <w:proofErr w:type="spellEnd"/>
      <w:r>
        <w:rPr>
          <w:rFonts w:ascii="Times New Roman" w:eastAsia="Times New Roman" w:hAnsi="Times New Roman" w:cs="Times New Roman"/>
          <w:color w:val="000000"/>
          <w:sz w:val="24"/>
          <w:szCs w:val="24"/>
        </w:rPr>
        <w:t xml:space="preserve">, O.M., </w:t>
      </w:r>
      <w:proofErr w:type="spellStart"/>
      <w:r>
        <w:rPr>
          <w:rFonts w:ascii="Times New Roman" w:eastAsia="Times New Roman" w:hAnsi="Times New Roman" w:cs="Times New Roman"/>
          <w:color w:val="000000"/>
          <w:sz w:val="24"/>
          <w:szCs w:val="24"/>
        </w:rPr>
        <w:t>Synytsia</w:t>
      </w:r>
      <w:proofErr w:type="spellEnd"/>
      <w:r>
        <w:rPr>
          <w:rFonts w:ascii="Times New Roman" w:eastAsia="Times New Roman" w:hAnsi="Times New Roman" w:cs="Times New Roman"/>
          <w:color w:val="000000"/>
          <w:sz w:val="24"/>
          <w:szCs w:val="24"/>
        </w:rPr>
        <w:t xml:space="preserve">, A.V. (2023) </w:t>
      </w:r>
      <w:proofErr w:type="spellStart"/>
      <w:r>
        <w:rPr>
          <w:rFonts w:ascii="Times New Roman" w:eastAsia="Times New Roman" w:hAnsi="Times New Roman" w:cs="Times New Roman"/>
          <w:color w:val="000000"/>
          <w:sz w:val="24"/>
          <w:szCs w:val="24"/>
        </w:rPr>
        <w:t>Delayed</w:t>
      </w:r>
      <w:proofErr w:type="spellEnd"/>
      <w:r>
        <w:rPr>
          <w:rFonts w:ascii="Times New Roman" w:eastAsia="Times New Roman" w:hAnsi="Times New Roman" w:cs="Times New Roman"/>
          <w:color w:val="000000"/>
          <w:sz w:val="24"/>
          <w:szCs w:val="24"/>
        </w:rPr>
        <w:t xml:space="preserve"> 160Tb </w:t>
      </w:r>
      <w:proofErr w:type="spellStart"/>
      <w:r>
        <w:rPr>
          <w:rFonts w:ascii="Times New Roman" w:eastAsia="Times New Roman" w:hAnsi="Times New Roman" w:cs="Times New Roman"/>
          <w:color w:val="000000"/>
          <w:sz w:val="24"/>
          <w:szCs w:val="24"/>
        </w:rPr>
        <w:t>radioactivity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buildup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due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w:t>
      </w:r>
      <w:proofErr w:type="spellEnd"/>
      <w:r>
        <w:rPr>
          <w:rFonts w:ascii="Times New Roman" w:eastAsia="Times New Roman" w:hAnsi="Times New Roman" w:cs="Times New Roman"/>
          <w:color w:val="000000"/>
          <w:sz w:val="24"/>
          <w:szCs w:val="24"/>
        </w:rPr>
        <w:t xml:space="preserve"> 159Tb(n,2n) </w:t>
      </w:r>
      <w:proofErr w:type="spellStart"/>
      <w:r>
        <w:rPr>
          <w:rFonts w:ascii="Times New Roman" w:eastAsia="Times New Roman" w:hAnsi="Times New Roman" w:cs="Times New Roman"/>
          <w:color w:val="000000"/>
          <w:sz w:val="24"/>
          <w:szCs w:val="24"/>
        </w:rPr>
        <w:t>nuclear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reaction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products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transformation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subsequent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fusion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Nucl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Phys</w:t>
      </w:r>
      <w:proofErr w:type="spellEnd"/>
      <w:r>
        <w:rPr>
          <w:rFonts w:ascii="Times New Roman" w:eastAsia="Times New Roman" w:hAnsi="Times New Roman" w:cs="Times New Roman"/>
          <w:color w:val="000000"/>
          <w:sz w:val="24"/>
          <w:szCs w:val="24"/>
        </w:rPr>
        <w:t>. A. 1030, 122575. https://doi.org/10.1016/j.nuclphysa.2022.122575.</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Migdal</w:t>
      </w:r>
      <w:proofErr w:type="spellEnd"/>
      <w:r>
        <w:rPr>
          <w:rFonts w:ascii="Times New Roman" w:eastAsia="Times New Roman" w:hAnsi="Times New Roman" w:cs="Times New Roman"/>
          <w:color w:val="000000"/>
          <w:sz w:val="24"/>
          <w:szCs w:val="24"/>
        </w:rPr>
        <w:t xml:space="preserve">, A.B. (1973) </w:t>
      </w:r>
      <w:proofErr w:type="spellStart"/>
      <w:r>
        <w:rPr>
          <w:rFonts w:ascii="Times New Roman" w:eastAsia="Times New Roman" w:hAnsi="Times New Roman" w:cs="Times New Roman"/>
          <w:color w:val="000000"/>
          <w:sz w:val="24"/>
          <w:szCs w:val="24"/>
        </w:rPr>
        <w:t>Two</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interacting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particles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potential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well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Sov</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Nucl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Phys</w:t>
      </w:r>
      <w:proofErr w:type="spellEnd"/>
      <w:r>
        <w:rPr>
          <w:rFonts w:ascii="Times New Roman" w:eastAsia="Times New Roman" w:hAnsi="Times New Roman" w:cs="Times New Roman"/>
          <w:color w:val="000000"/>
          <w:sz w:val="24"/>
          <w:szCs w:val="24"/>
        </w:rPr>
        <w:t>. 16, 238.</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Coutinho</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Bento</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Souza</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(2023) A </w:t>
      </w:r>
      <w:proofErr w:type="spellStart"/>
      <w:r>
        <w:rPr>
          <w:rFonts w:ascii="Times New Roman" w:eastAsia="Times New Roman" w:hAnsi="Times New Roman" w:cs="Times New Roman"/>
          <w:color w:val="000000"/>
          <w:sz w:val="24"/>
          <w:szCs w:val="24"/>
        </w:rPr>
        <w:t>review</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recent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developments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thermal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management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hybrid-electric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aircraft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Therm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Eng</w:t>
      </w:r>
      <w:proofErr w:type="spellEnd"/>
      <w:r>
        <w:rPr>
          <w:rFonts w:ascii="Times New Roman" w:eastAsia="Times New Roman" w:hAnsi="Times New Roman" w:cs="Times New Roman"/>
          <w:color w:val="000000"/>
          <w:sz w:val="24"/>
          <w:szCs w:val="24"/>
        </w:rPr>
        <w:t>. 227, 120427. https://doi.org/10.1016/j.applthermaleng.2023.120427.</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Khan</w:t>
      </w:r>
      <w:proofErr w:type="spellEnd"/>
      <w:r>
        <w:rPr>
          <w:rFonts w:ascii="Times New Roman" w:eastAsia="Times New Roman" w:hAnsi="Times New Roman" w:cs="Times New Roman"/>
          <w:color w:val="000000"/>
          <w:sz w:val="24"/>
          <w:szCs w:val="24"/>
        </w:rPr>
        <w:t xml:space="preserve">, S.A., </w:t>
      </w:r>
      <w:proofErr w:type="spellStart"/>
      <w:r>
        <w:rPr>
          <w:rFonts w:ascii="Times New Roman" w:eastAsia="Times New Roman" w:hAnsi="Times New Roman" w:cs="Times New Roman"/>
          <w:color w:val="000000"/>
          <w:sz w:val="24"/>
          <w:szCs w:val="24"/>
        </w:rPr>
        <w:t>Hussain</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Thakur</w:t>
      </w:r>
      <w:proofErr w:type="spellEnd"/>
      <w:r>
        <w:rPr>
          <w:rFonts w:ascii="Times New Roman" w:eastAsia="Times New Roman" w:hAnsi="Times New Roman" w:cs="Times New Roman"/>
          <w:color w:val="000000"/>
          <w:sz w:val="24"/>
          <w:szCs w:val="24"/>
        </w:rPr>
        <w:t xml:space="preserve">, A.K.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w:t>
      </w:r>
      <w:proofErr w:type="spellEnd"/>
      <w:r>
        <w:rPr>
          <w:rFonts w:ascii="Times New Roman" w:eastAsia="Times New Roman" w:hAnsi="Times New Roman" w:cs="Times New Roman"/>
          <w:color w:val="000000"/>
          <w:sz w:val="24"/>
          <w:szCs w:val="24"/>
        </w:rPr>
        <w:t xml:space="preserve">. (2024) </w:t>
      </w:r>
      <w:proofErr w:type="spellStart"/>
      <w:r>
        <w:rPr>
          <w:rFonts w:ascii="Times New Roman" w:eastAsia="Times New Roman" w:hAnsi="Times New Roman" w:cs="Times New Roman"/>
          <w:color w:val="000000"/>
          <w:sz w:val="24"/>
          <w:szCs w:val="24"/>
        </w:rPr>
        <w:t>Advancements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battery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thermal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management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system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fast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charging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discharging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applications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Energy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Storage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Mater</w:t>
      </w:r>
      <w:proofErr w:type="spellEnd"/>
      <w:r>
        <w:rPr>
          <w:rFonts w:ascii="Times New Roman" w:eastAsia="Times New Roman" w:hAnsi="Times New Roman" w:cs="Times New Roman"/>
          <w:color w:val="000000"/>
          <w:sz w:val="24"/>
          <w:szCs w:val="24"/>
        </w:rPr>
        <w:t>. 65, 103144. https://doi.org/10.1016/j.ensm.2023.103144.</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Chen</w:t>
      </w:r>
      <w:proofErr w:type="spellEnd"/>
      <w:r>
        <w:rPr>
          <w:rFonts w:ascii="Times New Roman" w:eastAsia="Times New Roman" w:hAnsi="Times New Roman" w:cs="Times New Roman"/>
          <w:color w:val="000000"/>
          <w:sz w:val="24"/>
          <w:szCs w:val="24"/>
        </w:rPr>
        <w:t xml:space="preserve">, W.-Y., </w:t>
      </w:r>
      <w:proofErr w:type="spellStart"/>
      <w:r>
        <w:rPr>
          <w:rFonts w:ascii="Times New Roman" w:eastAsia="Times New Roman" w:hAnsi="Times New Roman" w:cs="Times New Roman"/>
          <w:color w:val="000000"/>
          <w:sz w:val="24"/>
          <w:szCs w:val="24"/>
        </w:rPr>
        <w:t>Shi</w:t>
      </w:r>
      <w:proofErr w:type="spellEnd"/>
      <w:r>
        <w:rPr>
          <w:rFonts w:ascii="Times New Roman" w:eastAsia="Times New Roman" w:hAnsi="Times New Roman" w:cs="Times New Roman"/>
          <w:color w:val="000000"/>
          <w:sz w:val="24"/>
          <w:szCs w:val="24"/>
        </w:rPr>
        <w:t xml:space="preserve">, X.-L., </w:t>
      </w:r>
      <w:proofErr w:type="spellStart"/>
      <w:r>
        <w:rPr>
          <w:rFonts w:ascii="Times New Roman" w:eastAsia="Times New Roman" w:hAnsi="Times New Roman" w:cs="Times New Roman"/>
          <w:color w:val="000000"/>
          <w:sz w:val="24"/>
          <w:szCs w:val="24"/>
        </w:rPr>
        <w:t>Zou</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Chen</w:t>
      </w:r>
      <w:proofErr w:type="spellEnd"/>
      <w:r>
        <w:rPr>
          <w:rFonts w:ascii="Times New Roman" w:eastAsia="Times New Roman" w:hAnsi="Times New Roman" w:cs="Times New Roman"/>
          <w:color w:val="000000"/>
          <w:sz w:val="24"/>
          <w:szCs w:val="24"/>
        </w:rPr>
        <w:t xml:space="preserve">, Z.-G. (2022) </w:t>
      </w:r>
      <w:proofErr w:type="spellStart"/>
      <w:r>
        <w:rPr>
          <w:rFonts w:ascii="Times New Roman" w:eastAsia="Times New Roman" w:hAnsi="Times New Roman" w:cs="Times New Roman"/>
          <w:color w:val="000000"/>
          <w:sz w:val="24"/>
          <w:szCs w:val="24"/>
        </w:rPr>
        <w:t>Thermoelectric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coolers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on-chip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thermal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management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Materials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design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optimization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Mater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Eng</w:t>
      </w:r>
      <w:proofErr w:type="spellEnd"/>
      <w:r>
        <w:rPr>
          <w:rFonts w:ascii="Times New Roman" w:eastAsia="Times New Roman" w:hAnsi="Times New Roman" w:cs="Times New Roman"/>
          <w:color w:val="000000"/>
          <w:sz w:val="24"/>
          <w:szCs w:val="24"/>
        </w:rPr>
        <w:t xml:space="preserve">. R </w:t>
      </w:r>
      <w:proofErr w:type="spellStart"/>
      <w:r>
        <w:rPr>
          <w:rFonts w:ascii="Times New Roman" w:eastAsia="Times New Roman" w:hAnsi="Times New Roman" w:cs="Times New Roman"/>
          <w:color w:val="000000"/>
          <w:sz w:val="24"/>
          <w:szCs w:val="24"/>
        </w:rPr>
        <w:t>Reports</w:t>
      </w:r>
      <w:proofErr w:type="spellEnd"/>
      <w:r>
        <w:rPr>
          <w:rFonts w:ascii="Times New Roman" w:eastAsia="Times New Roman" w:hAnsi="Times New Roman" w:cs="Times New Roman"/>
          <w:color w:val="000000"/>
          <w:sz w:val="24"/>
          <w:szCs w:val="24"/>
        </w:rPr>
        <w:t>. 151, 100700. https://doi.org/10.1016/j.mser.2022.100700.</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Blahun</w:t>
      </w:r>
      <w:proofErr w:type="spellEnd"/>
      <w:r>
        <w:rPr>
          <w:rFonts w:ascii="Times New Roman" w:eastAsia="Times New Roman" w:hAnsi="Times New Roman" w:cs="Times New Roman"/>
          <w:color w:val="000000"/>
          <w:sz w:val="24"/>
          <w:szCs w:val="24"/>
        </w:rPr>
        <w:t xml:space="preserve">, O.P., </w:t>
      </w:r>
      <w:proofErr w:type="spellStart"/>
      <w:r>
        <w:rPr>
          <w:rFonts w:ascii="Times New Roman" w:eastAsia="Times New Roman" w:hAnsi="Times New Roman" w:cs="Times New Roman"/>
          <w:color w:val="000000"/>
          <w:sz w:val="24"/>
          <w:szCs w:val="24"/>
        </w:rPr>
        <w:t>Rozhenko</w:t>
      </w:r>
      <w:proofErr w:type="spellEnd"/>
      <w:r>
        <w:rPr>
          <w:rFonts w:ascii="Times New Roman" w:eastAsia="Times New Roman" w:hAnsi="Times New Roman" w:cs="Times New Roman"/>
          <w:color w:val="000000"/>
          <w:sz w:val="24"/>
          <w:szCs w:val="24"/>
        </w:rPr>
        <w:t xml:space="preserve">, A.B., </w:t>
      </w:r>
      <w:proofErr w:type="spellStart"/>
      <w:r>
        <w:rPr>
          <w:rFonts w:ascii="Times New Roman" w:eastAsia="Times New Roman" w:hAnsi="Times New Roman" w:cs="Times New Roman"/>
          <w:color w:val="000000"/>
          <w:sz w:val="24"/>
          <w:szCs w:val="24"/>
        </w:rPr>
        <w:t>Rusanov</w:t>
      </w:r>
      <w:proofErr w:type="spellEnd"/>
      <w:r>
        <w:rPr>
          <w:rFonts w:ascii="Times New Roman" w:eastAsia="Times New Roman" w:hAnsi="Times New Roman" w:cs="Times New Roman"/>
          <w:color w:val="000000"/>
          <w:sz w:val="24"/>
          <w:szCs w:val="24"/>
        </w:rPr>
        <w:t xml:space="preserve">, E.B.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(2020) </w:t>
      </w:r>
      <w:proofErr w:type="spellStart"/>
      <w:r>
        <w:rPr>
          <w:rFonts w:ascii="Times New Roman" w:eastAsia="Times New Roman" w:hAnsi="Times New Roman" w:cs="Times New Roman"/>
          <w:color w:val="000000"/>
          <w:sz w:val="24"/>
          <w:szCs w:val="24"/>
        </w:rPr>
        <w:t>Twisting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Turning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Sulfonamide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Bond</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Synthetic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Quantum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Chemical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Crystallographic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Study</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Org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Chem</w:t>
      </w:r>
      <w:proofErr w:type="spellEnd"/>
      <w:r>
        <w:rPr>
          <w:rFonts w:ascii="Times New Roman" w:eastAsia="Times New Roman" w:hAnsi="Times New Roman" w:cs="Times New Roman"/>
          <w:color w:val="000000"/>
          <w:sz w:val="24"/>
          <w:szCs w:val="24"/>
        </w:rPr>
        <w:t>. 85, 5288. https://doi.org/10.1021/acs.joc.9b03394</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Koidan</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Hurieva</w:t>
      </w:r>
      <w:proofErr w:type="spellEnd"/>
      <w:r>
        <w:rPr>
          <w:rFonts w:ascii="Times New Roman" w:eastAsia="Times New Roman" w:hAnsi="Times New Roman" w:cs="Times New Roman"/>
          <w:color w:val="000000"/>
          <w:sz w:val="24"/>
          <w:szCs w:val="24"/>
        </w:rPr>
        <w:t xml:space="preserve">, A.N., </w:t>
      </w:r>
      <w:proofErr w:type="spellStart"/>
      <w:r>
        <w:rPr>
          <w:rFonts w:ascii="Times New Roman" w:eastAsia="Times New Roman" w:hAnsi="Times New Roman" w:cs="Times New Roman"/>
          <w:color w:val="000000"/>
          <w:sz w:val="24"/>
          <w:szCs w:val="24"/>
        </w:rPr>
        <w:t>Rozhenko</w:t>
      </w:r>
      <w:proofErr w:type="spellEnd"/>
      <w:r>
        <w:rPr>
          <w:rFonts w:ascii="Times New Roman" w:eastAsia="Times New Roman" w:hAnsi="Times New Roman" w:cs="Times New Roman"/>
          <w:color w:val="000000"/>
          <w:sz w:val="24"/>
          <w:szCs w:val="24"/>
        </w:rPr>
        <w:t xml:space="preserve">, A.B.,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(2023) </w:t>
      </w:r>
      <w:proofErr w:type="spellStart"/>
      <w:r>
        <w:rPr>
          <w:rFonts w:ascii="Times New Roman" w:eastAsia="Times New Roman" w:hAnsi="Times New Roman" w:cs="Times New Roman"/>
          <w:color w:val="000000"/>
          <w:sz w:val="24"/>
          <w:szCs w:val="24"/>
        </w:rPr>
        <w:t>Latent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Carbene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Diaminomethylation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Benzenes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Mechanism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Practical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Application</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Org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Chem</w:t>
      </w:r>
      <w:proofErr w:type="spellEnd"/>
      <w:r>
        <w:rPr>
          <w:rFonts w:ascii="Times New Roman" w:eastAsia="Times New Roman" w:hAnsi="Times New Roman" w:cs="Times New Roman"/>
          <w:color w:val="000000"/>
          <w:sz w:val="24"/>
          <w:szCs w:val="24"/>
        </w:rPr>
        <w:t>. 88, 7233. https://doi.org/10.1021/acs.joc.3c00470</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Kvasha</w:t>
      </w:r>
      <w:proofErr w:type="spellEnd"/>
      <w:r>
        <w:rPr>
          <w:rFonts w:ascii="Times New Roman" w:eastAsia="Times New Roman" w:hAnsi="Times New Roman" w:cs="Times New Roman"/>
          <w:color w:val="000000"/>
          <w:sz w:val="24"/>
          <w:szCs w:val="24"/>
        </w:rPr>
        <w:t xml:space="preserve">, D.A., </w:t>
      </w:r>
      <w:proofErr w:type="spellStart"/>
      <w:r>
        <w:rPr>
          <w:rFonts w:ascii="Times New Roman" w:eastAsia="Times New Roman" w:hAnsi="Times New Roman" w:cs="Times New Roman"/>
          <w:color w:val="000000"/>
          <w:sz w:val="24"/>
          <w:szCs w:val="24"/>
        </w:rPr>
        <w:t>Deviatkin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Poturai</w:t>
      </w:r>
      <w:proofErr w:type="spellEnd"/>
      <w:r>
        <w:rPr>
          <w:rFonts w:ascii="Times New Roman" w:eastAsia="Times New Roman" w:hAnsi="Times New Roman" w:cs="Times New Roman"/>
          <w:color w:val="000000"/>
          <w:sz w:val="24"/>
          <w:szCs w:val="24"/>
        </w:rPr>
        <w:t xml:space="preserve">, A.S.,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(2023) </w:t>
      </w:r>
      <w:proofErr w:type="spellStart"/>
      <w:r>
        <w:rPr>
          <w:rFonts w:ascii="Times New Roman" w:eastAsia="Times New Roman" w:hAnsi="Times New Roman" w:cs="Times New Roman"/>
          <w:color w:val="000000"/>
          <w:sz w:val="24"/>
          <w:szCs w:val="24"/>
        </w:rPr>
        <w:t>Metal-Free</w:t>
      </w:r>
      <w:proofErr w:type="spellEnd"/>
      <w:r>
        <w:rPr>
          <w:rFonts w:ascii="Times New Roman" w:eastAsia="Times New Roman" w:hAnsi="Times New Roman" w:cs="Times New Roman"/>
          <w:color w:val="000000"/>
          <w:sz w:val="24"/>
          <w:szCs w:val="24"/>
        </w:rPr>
        <w:t xml:space="preserve"> C–H </w:t>
      </w:r>
      <w:proofErr w:type="spellStart"/>
      <w:r>
        <w:rPr>
          <w:rFonts w:ascii="Times New Roman" w:eastAsia="Times New Roman" w:hAnsi="Times New Roman" w:cs="Times New Roman"/>
          <w:color w:val="000000"/>
          <w:sz w:val="24"/>
          <w:szCs w:val="24"/>
        </w:rPr>
        <w:t>Difluoromethylation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Imidazoles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with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Ruppert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Prakash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Reagent</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Org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Chem</w:t>
      </w:r>
      <w:proofErr w:type="spellEnd"/>
      <w:r>
        <w:rPr>
          <w:rFonts w:ascii="Times New Roman" w:eastAsia="Times New Roman" w:hAnsi="Times New Roman" w:cs="Times New Roman"/>
          <w:color w:val="000000"/>
          <w:sz w:val="24"/>
          <w:szCs w:val="24"/>
        </w:rPr>
        <w:t>. 88, 163. https://doi.org/10.1021/acs.joc.2c02041</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Molecular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Docking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Molecular</w:t>
      </w:r>
      <w:proofErr w:type="spellEnd"/>
      <w:r>
        <w:rPr>
          <w:rFonts w:ascii="Times New Roman" w:eastAsia="Times New Roman" w:hAnsi="Times New Roman" w:cs="Times New Roman"/>
          <w:color w:val="000000"/>
          <w:sz w:val="24"/>
          <w:szCs w:val="24"/>
        </w:rPr>
        <w:t xml:space="preserve"> Dynamics; </w:t>
      </w:r>
      <w:proofErr w:type="spellStart"/>
      <w:r>
        <w:rPr>
          <w:rFonts w:ascii="Times New Roman" w:eastAsia="Times New Roman" w:hAnsi="Times New Roman" w:cs="Times New Roman"/>
          <w:color w:val="000000"/>
          <w:sz w:val="24"/>
          <w:szCs w:val="24"/>
        </w:rPr>
        <w:t>Stefaniu</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Interchopen</w:t>
      </w:r>
      <w:proofErr w:type="spellEnd"/>
      <w:r>
        <w:rPr>
          <w:rFonts w:ascii="Times New Roman" w:eastAsia="Times New Roman" w:hAnsi="Times New Roman" w:cs="Times New Roman"/>
          <w:color w:val="000000"/>
          <w:sz w:val="24"/>
          <w:szCs w:val="24"/>
        </w:rPr>
        <w:t>, 2019, ISBN-10 : ‎ 1789840910</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proofErr w:type="spellStart"/>
      <w:r>
        <w:rPr>
          <w:rFonts w:ascii="Times New Roman" w:eastAsia="Times New Roman" w:hAnsi="Times New Roman" w:cs="Times New Roman"/>
          <w:color w:val="000000"/>
          <w:sz w:val="24"/>
          <w:szCs w:val="24"/>
        </w:rPr>
        <w:t>Devlin</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Chang</w:t>
      </w:r>
      <w:proofErr w:type="spellEnd"/>
      <w:r>
        <w:rPr>
          <w:rFonts w:ascii="Times New Roman" w:eastAsia="Times New Roman" w:hAnsi="Times New Roman" w:cs="Times New Roman"/>
          <w:color w:val="000000"/>
          <w:sz w:val="24"/>
          <w:szCs w:val="24"/>
        </w:rPr>
        <w:t xml:space="preserve">, M.W., </w:t>
      </w:r>
      <w:proofErr w:type="spellStart"/>
      <w:r>
        <w:rPr>
          <w:rFonts w:ascii="Times New Roman" w:eastAsia="Times New Roman" w:hAnsi="Times New Roman" w:cs="Times New Roman"/>
          <w:color w:val="000000"/>
          <w:sz w:val="24"/>
          <w:szCs w:val="24"/>
        </w:rPr>
        <w:t>Lee</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Toutanova</w:t>
      </w:r>
      <w:proofErr w:type="spellEnd"/>
      <w:r>
        <w:rPr>
          <w:rFonts w:ascii="Times New Roman" w:eastAsia="Times New Roman" w:hAnsi="Times New Roman" w:cs="Times New Roman"/>
          <w:color w:val="000000"/>
          <w:sz w:val="24"/>
          <w:szCs w:val="24"/>
        </w:rPr>
        <w:t xml:space="preserve">, K.: BERT: </w:t>
      </w:r>
      <w:proofErr w:type="spellStart"/>
      <w:r>
        <w:rPr>
          <w:rFonts w:ascii="Times New Roman" w:eastAsia="Times New Roman" w:hAnsi="Times New Roman" w:cs="Times New Roman"/>
          <w:color w:val="000000"/>
          <w:sz w:val="24"/>
          <w:szCs w:val="24"/>
        </w:rPr>
        <w:t>Pre-training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Deep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Bidirectional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Transformers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Understanding</w:t>
      </w:r>
      <w:proofErr w:type="spellEnd"/>
      <w:r>
        <w:rPr>
          <w:rFonts w:ascii="Times New Roman" w:eastAsia="Times New Roman" w:hAnsi="Times New Roman" w:cs="Times New Roman"/>
          <w:color w:val="000000"/>
          <w:sz w:val="24"/>
          <w:szCs w:val="24"/>
        </w:rPr>
        <w:t>. NAACL-HLT (1) 2019: 4171-4186. https://doi.org/10.48550/arXiv.1810.04805</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Lan</w:t>
      </w:r>
      <w:proofErr w:type="spellEnd"/>
      <w:r>
        <w:rPr>
          <w:rFonts w:ascii="Times New Roman" w:eastAsia="Times New Roman" w:hAnsi="Times New Roman" w:cs="Times New Roman"/>
          <w:color w:val="000000"/>
          <w:sz w:val="24"/>
          <w:szCs w:val="24"/>
        </w:rPr>
        <w:t xml:space="preserve">, Z., </w:t>
      </w:r>
      <w:proofErr w:type="spellStart"/>
      <w:r>
        <w:rPr>
          <w:rFonts w:ascii="Times New Roman" w:eastAsia="Times New Roman" w:hAnsi="Times New Roman" w:cs="Times New Roman"/>
          <w:color w:val="000000"/>
          <w:sz w:val="24"/>
          <w:szCs w:val="24"/>
        </w:rPr>
        <w:t>Chen</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Goodman</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ALBERT: A </w:t>
      </w:r>
      <w:proofErr w:type="spellStart"/>
      <w:r>
        <w:rPr>
          <w:rFonts w:ascii="Times New Roman" w:eastAsia="Times New Roman" w:hAnsi="Times New Roman" w:cs="Times New Roman"/>
          <w:color w:val="000000"/>
          <w:sz w:val="24"/>
          <w:szCs w:val="24"/>
        </w:rPr>
        <w:t>Lite</w:t>
      </w:r>
      <w:proofErr w:type="spellEnd"/>
      <w:r>
        <w:rPr>
          <w:rFonts w:ascii="Times New Roman" w:eastAsia="Times New Roman" w:hAnsi="Times New Roman" w:cs="Times New Roman"/>
          <w:color w:val="000000"/>
          <w:sz w:val="24"/>
          <w:szCs w:val="24"/>
        </w:rPr>
        <w:t xml:space="preserve"> BERT </w:t>
      </w:r>
      <w:proofErr w:type="spellStart"/>
      <w:r>
        <w:rPr>
          <w:rFonts w:ascii="Times New Roman" w:eastAsia="Times New Roman" w:hAnsi="Times New Roman" w:cs="Times New Roman"/>
          <w:color w:val="000000"/>
          <w:sz w:val="24"/>
          <w:szCs w:val="24"/>
        </w:rPr>
        <w:t>for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Self-supervised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Learning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Representations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Proceedings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ICLR 2020 https://openreview.net/pdf?id=H1eA7AEtvS</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Liu</w:t>
      </w:r>
      <w:proofErr w:type="spellEnd"/>
      <w:r>
        <w:rPr>
          <w:rFonts w:ascii="Times New Roman" w:eastAsia="Times New Roman" w:hAnsi="Times New Roman" w:cs="Times New Roman"/>
          <w:color w:val="000000"/>
          <w:sz w:val="24"/>
          <w:szCs w:val="24"/>
        </w:rPr>
        <w:t xml:space="preserve">, Y., </w:t>
      </w:r>
      <w:proofErr w:type="spellStart"/>
      <w:r>
        <w:rPr>
          <w:rFonts w:ascii="Times New Roman" w:eastAsia="Times New Roman" w:hAnsi="Times New Roman" w:cs="Times New Roman"/>
          <w:color w:val="000000"/>
          <w:sz w:val="24"/>
          <w:szCs w:val="24"/>
        </w:rPr>
        <w:t>Ott</w:t>
      </w:r>
      <w:proofErr w:type="spellEnd"/>
      <w:r>
        <w:rPr>
          <w:rFonts w:ascii="Times New Roman" w:eastAsia="Times New Roman" w:hAnsi="Times New Roman" w:cs="Times New Roman"/>
          <w:color w:val="000000"/>
          <w:sz w:val="24"/>
          <w:szCs w:val="24"/>
        </w:rPr>
        <w:t xml:space="preserve">, V., </w:t>
      </w:r>
      <w:proofErr w:type="spellStart"/>
      <w:r>
        <w:rPr>
          <w:rFonts w:ascii="Times New Roman" w:eastAsia="Times New Roman" w:hAnsi="Times New Roman" w:cs="Times New Roman"/>
          <w:color w:val="000000"/>
          <w:sz w:val="24"/>
          <w:szCs w:val="24"/>
        </w:rPr>
        <w:t>Goyal</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RoBERTa</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Robustly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Optimized</w:t>
      </w:r>
      <w:proofErr w:type="spellEnd"/>
      <w:r>
        <w:rPr>
          <w:rFonts w:ascii="Times New Roman" w:eastAsia="Times New Roman" w:hAnsi="Times New Roman" w:cs="Times New Roman"/>
          <w:color w:val="000000"/>
          <w:sz w:val="24"/>
          <w:szCs w:val="24"/>
        </w:rPr>
        <w:t xml:space="preserve"> BERT </w:t>
      </w:r>
      <w:proofErr w:type="spellStart"/>
      <w:r>
        <w:rPr>
          <w:rFonts w:ascii="Times New Roman" w:eastAsia="Times New Roman" w:hAnsi="Times New Roman" w:cs="Times New Roman"/>
          <w:color w:val="000000"/>
          <w:sz w:val="24"/>
          <w:szCs w:val="24"/>
        </w:rPr>
        <w:t>Pretraining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Approach</w:t>
      </w:r>
      <w:proofErr w:type="spellEnd"/>
      <w:r>
        <w:rPr>
          <w:rFonts w:ascii="Times New Roman" w:eastAsia="Times New Roman" w:hAnsi="Times New Roman" w:cs="Times New Roman"/>
          <w:color w:val="000000"/>
          <w:sz w:val="24"/>
          <w:szCs w:val="24"/>
        </w:rPr>
        <w:t>, https://arxiv.org/abs/1907.11692 https://doi.org/10.48550/arXiv.1907.11692</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[16]   GPT-4 </w:t>
      </w:r>
      <w:proofErr w:type="spellStart"/>
      <w:r>
        <w:rPr>
          <w:rFonts w:ascii="Times New Roman" w:eastAsia="Times New Roman" w:hAnsi="Times New Roman" w:cs="Times New Roman"/>
          <w:color w:val="000000"/>
          <w:sz w:val="24"/>
          <w:szCs w:val="24"/>
        </w:rPr>
        <w:t>Technical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Report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OpenAI</w:t>
      </w:r>
      <w:proofErr w:type="spellEnd"/>
      <w:r>
        <w:rPr>
          <w:rFonts w:ascii="Times New Roman" w:eastAsia="Times New Roman" w:hAnsi="Times New Roman" w:cs="Times New Roman"/>
          <w:color w:val="000000"/>
          <w:sz w:val="24"/>
          <w:szCs w:val="24"/>
        </w:rPr>
        <w:t xml:space="preserve"> https://cdn.openai.com/papers/gpt-4.pdf</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Liu</w:t>
      </w:r>
      <w:proofErr w:type="spellEnd"/>
      <w:r>
        <w:rPr>
          <w:rFonts w:ascii="Times New Roman" w:eastAsia="Times New Roman" w:hAnsi="Times New Roman" w:cs="Times New Roman"/>
          <w:color w:val="000000"/>
          <w:sz w:val="24"/>
          <w:szCs w:val="24"/>
        </w:rPr>
        <w:t xml:space="preserve">, Y., </w:t>
      </w:r>
      <w:proofErr w:type="spellStart"/>
      <w:r>
        <w:rPr>
          <w:rFonts w:ascii="Times New Roman" w:eastAsia="Times New Roman" w:hAnsi="Times New Roman" w:cs="Times New Roman"/>
          <w:color w:val="000000"/>
          <w:sz w:val="24"/>
          <w:szCs w:val="24"/>
        </w:rPr>
        <w:t>Han</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Siyuan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Summary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ChatGPT-Related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Research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Perspective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Towards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the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Future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Large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Language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Models</w:t>
      </w:r>
      <w:proofErr w:type="spellEnd"/>
      <w:r>
        <w:rPr>
          <w:rFonts w:ascii="Times New Roman" w:eastAsia="Times New Roman" w:hAnsi="Times New Roman" w:cs="Times New Roman"/>
          <w:color w:val="000000"/>
          <w:sz w:val="24"/>
          <w:szCs w:val="24"/>
        </w:rPr>
        <w:t xml:space="preserve">, https://arxiv.org/abs/2304.01852. </w:t>
      </w:r>
      <w:hyperlink r:id="rId8">
        <w:r>
          <w:rPr>
            <w:rFonts w:ascii="Times New Roman" w:eastAsia="Times New Roman" w:hAnsi="Times New Roman" w:cs="Times New Roman"/>
            <w:color w:val="0000FF"/>
            <w:sz w:val="24"/>
            <w:szCs w:val="24"/>
            <w:u w:val="single"/>
          </w:rPr>
          <w:t>https://doi.org/10.1016/j.metrad.2023.100017</w:t>
        </w:r>
      </w:hyperlink>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Новизна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 1 сторінки )</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Планується вперше отримати характеристики спектрометра, необхідного для проведення експерименту з виміру розпаду </w:t>
      </w:r>
      <w:proofErr w:type="spellStart"/>
      <w:r>
        <w:rPr>
          <w:rFonts w:ascii="Times New Roman" w:eastAsia="Times New Roman" w:hAnsi="Times New Roman" w:cs="Times New Roman"/>
          <w:sz w:val="24"/>
          <w:szCs w:val="24"/>
        </w:rPr>
        <w:t>динейтрона</w:t>
      </w:r>
      <w:proofErr w:type="spellEnd"/>
      <w:r>
        <w:rPr>
          <w:rFonts w:ascii="Times New Roman" w:eastAsia="Times New Roman" w:hAnsi="Times New Roman" w:cs="Times New Roman"/>
          <w:sz w:val="24"/>
          <w:szCs w:val="24"/>
        </w:rPr>
        <w:t xml:space="preserve"> через канал електронного розпаду в дейтрон. Ще одним елементом новизни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стане використанням потенціалів міжатомної взаємодії, </w:t>
      </w:r>
      <w:proofErr w:type="spellStart"/>
      <w:r>
        <w:rPr>
          <w:rFonts w:ascii="Times New Roman" w:eastAsia="Times New Roman" w:hAnsi="Times New Roman" w:cs="Times New Roman"/>
          <w:sz w:val="24"/>
          <w:szCs w:val="24"/>
        </w:rPr>
        <w:t>параметризованих</w:t>
      </w:r>
      <w:proofErr w:type="spellEnd"/>
      <w:r>
        <w:rPr>
          <w:rFonts w:ascii="Times New Roman" w:eastAsia="Times New Roman" w:hAnsi="Times New Roman" w:cs="Times New Roman"/>
          <w:sz w:val="24"/>
          <w:szCs w:val="24"/>
        </w:rPr>
        <w:t xml:space="preserve"> методами машинного навчання, для молекулярно-динамічного моделювання процесів теплового транспорту в матеріалах різної морфології. Дослідження в астрофізиці високих енергій, що плануються за </w:t>
      </w:r>
      <w:proofErr w:type="spellStart"/>
      <w:r>
        <w:rPr>
          <w:rFonts w:ascii="Times New Roman" w:eastAsia="Times New Roman" w:hAnsi="Times New Roman" w:cs="Times New Roman"/>
          <w:sz w:val="24"/>
          <w:szCs w:val="24"/>
        </w:rPr>
        <w:t>проєктом</w:t>
      </w:r>
      <w:proofErr w:type="spellEnd"/>
      <w:r>
        <w:rPr>
          <w:rFonts w:ascii="Times New Roman" w:eastAsia="Times New Roman" w:hAnsi="Times New Roman" w:cs="Times New Roman"/>
          <w:sz w:val="24"/>
          <w:szCs w:val="24"/>
        </w:rPr>
        <w:t xml:space="preserve">, також будуть проводитися у новітньому напрямі </w:t>
      </w:r>
      <w:proofErr w:type="spellStart"/>
      <w:r>
        <w:rPr>
          <w:rFonts w:ascii="Times New Roman" w:eastAsia="Times New Roman" w:hAnsi="Times New Roman" w:cs="Times New Roman"/>
          <w:sz w:val="24"/>
          <w:szCs w:val="24"/>
        </w:rPr>
        <w:lastRenderedPageBreak/>
        <w:t>гравітаційно</w:t>
      </w:r>
      <w:proofErr w:type="spellEnd"/>
      <w:r>
        <w:rPr>
          <w:rFonts w:ascii="Times New Roman" w:eastAsia="Times New Roman" w:hAnsi="Times New Roman" w:cs="Times New Roman"/>
          <w:sz w:val="24"/>
          <w:szCs w:val="24"/>
        </w:rPr>
        <w:t>-хвильової та нейтринної астрономії, де реєструються події одночасно в різних спектральних діапазонах та через різні канали спостережень. Ефективне використання різних типів багатоканальних (</w:t>
      </w:r>
      <w:proofErr w:type="spellStart"/>
      <w:r>
        <w:rPr>
          <w:rFonts w:ascii="Times New Roman" w:eastAsia="Times New Roman" w:hAnsi="Times New Roman" w:cs="Times New Roman"/>
          <w:sz w:val="24"/>
          <w:szCs w:val="24"/>
        </w:rPr>
        <w:t>multimessenger</w:t>
      </w:r>
      <w:proofErr w:type="spellEnd"/>
      <w:r>
        <w:rPr>
          <w:rFonts w:ascii="Times New Roman" w:eastAsia="Times New Roman" w:hAnsi="Times New Roman" w:cs="Times New Roman"/>
          <w:sz w:val="24"/>
          <w:szCs w:val="24"/>
        </w:rPr>
        <w:t xml:space="preserve">) даних (наприклад, дані про </w:t>
      </w:r>
      <w:proofErr w:type="spellStart"/>
      <w:r>
        <w:rPr>
          <w:rFonts w:ascii="Times New Roman" w:eastAsia="Times New Roman" w:hAnsi="Times New Roman" w:cs="Times New Roman"/>
          <w:sz w:val="24"/>
          <w:szCs w:val="24"/>
        </w:rPr>
        <w:t>нейтрино</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IceCube</w:t>
      </w:r>
      <w:proofErr w:type="spellEnd"/>
      <w:r>
        <w:rPr>
          <w:rFonts w:ascii="Times New Roman" w:eastAsia="Times New Roman" w:hAnsi="Times New Roman" w:cs="Times New Roman"/>
          <w:sz w:val="24"/>
          <w:szCs w:val="24"/>
        </w:rPr>
        <w:t xml:space="preserve"> з даними гамма-випромінювання </w:t>
      </w:r>
      <w:proofErr w:type="spellStart"/>
      <w:r>
        <w:rPr>
          <w:rFonts w:ascii="Times New Roman" w:eastAsia="Times New Roman" w:hAnsi="Times New Roman" w:cs="Times New Roman"/>
          <w:sz w:val="24"/>
          <w:szCs w:val="24"/>
        </w:rPr>
        <w:t>Fermi</w:t>
      </w:r>
      <w:proofErr w:type="spellEnd"/>
      <w:r>
        <w:rPr>
          <w:rFonts w:ascii="Times New Roman" w:eastAsia="Times New Roman" w:hAnsi="Times New Roman" w:cs="Times New Roman"/>
          <w:sz w:val="24"/>
          <w:szCs w:val="24"/>
        </w:rPr>
        <w:t>-LAT, H.E.S.S., MAGIC) є новітньою методикою фізики астрономічних джерел.</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Дослідження за </w:t>
      </w:r>
      <w:proofErr w:type="spellStart"/>
      <w:r>
        <w:rPr>
          <w:rFonts w:ascii="Times New Roman" w:eastAsia="Times New Roman" w:hAnsi="Times New Roman" w:cs="Times New Roman"/>
          <w:sz w:val="24"/>
          <w:szCs w:val="24"/>
        </w:rPr>
        <w:t>проєктом</w:t>
      </w:r>
      <w:proofErr w:type="spellEnd"/>
      <w:r>
        <w:rPr>
          <w:rFonts w:ascii="Times New Roman" w:eastAsia="Times New Roman" w:hAnsi="Times New Roman" w:cs="Times New Roman"/>
          <w:sz w:val="24"/>
          <w:szCs w:val="24"/>
        </w:rPr>
        <w:t xml:space="preserve"> в галузі </w:t>
      </w:r>
      <w:proofErr w:type="spellStart"/>
      <w:r>
        <w:rPr>
          <w:rFonts w:ascii="Times New Roman" w:eastAsia="Times New Roman" w:hAnsi="Times New Roman" w:cs="Times New Roman"/>
          <w:sz w:val="24"/>
          <w:szCs w:val="24"/>
        </w:rPr>
        <w:t>хемоінформатики</w:t>
      </w:r>
      <w:proofErr w:type="spellEnd"/>
      <w:r>
        <w:rPr>
          <w:rFonts w:ascii="Times New Roman" w:eastAsia="Times New Roman" w:hAnsi="Times New Roman" w:cs="Times New Roman"/>
          <w:sz w:val="24"/>
          <w:szCs w:val="24"/>
        </w:rPr>
        <w:t xml:space="preserve"> націлюється на створення нових класів органічних молекул з унікальною структурою – потенційних будівельних блоків для медичної хімії та агрохімії і, зокрема, на розробку сучасних ефективних </w:t>
      </w:r>
      <w:proofErr w:type="spellStart"/>
      <w:r>
        <w:rPr>
          <w:rFonts w:ascii="Times New Roman" w:eastAsia="Times New Roman" w:hAnsi="Times New Roman" w:cs="Times New Roman"/>
          <w:sz w:val="24"/>
          <w:szCs w:val="24"/>
        </w:rPr>
        <w:t>фотоініційованих</w:t>
      </w:r>
      <w:proofErr w:type="spellEnd"/>
      <w:r>
        <w:rPr>
          <w:rFonts w:ascii="Times New Roman" w:eastAsia="Times New Roman" w:hAnsi="Times New Roman" w:cs="Times New Roman"/>
          <w:sz w:val="24"/>
          <w:szCs w:val="24"/>
        </w:rPr>
        <w:t xml:space="preserve"> та перспективних проточних промислових технологій. Встановлення за допомогою комп'ютерної (квантової) хімії механізмів досліджуваних процесів дозволить отримати нові фундаментальні знання про їх перебіг. Аналіз структур-кандидатів за допомогою створеного комп’ютерного кластера на предмет їх потенційної взаємодії з біологічними мішенями з використанням сучасних комп’ютерних програм для молекулярної динаміки та молекулярного </w:t>
      </w:r>
      <w:proofErr w:type="spellStart"/>
      <w:r>
        <w:rPr>
          <w:rFonts w:ascii="Times New Roman" w:eastAsia="Times New Roman" w:hAnsi="Times New Roman" w:cs="Times New Roman"/>
          <w:sz w:val="24"/>
          <w:szCs w:val="24"/>
        </w:rPr>
        <w:t>докінгу</w:t>
      </w:r>
      <w:proofErr w:type="spellEnd"/>
      <w:r>
        <w:rPr>
          <w:rFonts w:ascii="Times New Roman" w:eastAsia="Times New Roman" w:hAnsi="Times New Roman" w:cs="Times New Roman"/>
          <w:sz w:val="24"/>
          <w:szCs w:val="24"/>
        </w:rPr>
        <w:t xml:space="preserve"> створить передумови для цілеспрямованого синтезу нових біологічно активних речовин – потенційних лікарських засобів та препаратів для агрохімії. У разі знаходження </w:t>
      </w:r>
      <w:proofErr w:type="spellStart"/>
      <w:r>
        <w:rPr>
          <w:rFonts w:ascii="Times New Roman" w:eastAsia="Times New Roman" w:hAnsi="Times New Roman" w:cs="Times New Roman"/>
          <w:sz w:val="24"/>
          <w:szCs w:val="24"/>
        </w:rPr>
        <w:t>сполук</w:t>
      </w:r>
      <w:proofErr w:type="spellEnd"/>
      <w:r>
        <w:rPr>
          <w:rFonts w:ascii="Times New Roman" w:eastAsia="Times New Roman" w:hAnsi="Times New Roman" w:cs="Times New Roman"/>
          <w:sz w:val="24"/>
          <w:szCs w:val="24"/>
        </w:rPr>
        <w:t>-лідерів з оптимізованою активністю проведені комплексні дослідженні дадуть змогу провести швидке та ефективне масштабування їх синтезу та швидше впровадження у виробництво.</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Новизною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у галузі штучного інтелекту та машинного навчання є нова технологія розробки, розширення, адаптації та тонкого налаштування великих нейронних моделей на прикладі створення великих лінгвістичних моделей і прикладних систем на основі цих моделей. Новими складовими технології буде оптимізація всіх обчислювальних процесів з урахуванням можливостей наявного устаткування обчислювального кластера. Також новими елементами технології є низка актуальних для сучасного світу прикладних задач, що будуть виконуватися побудованими системами: розпізнавання пропаганди в текстах; розпізнавання у </w:t>
      </w:r>
      <w:proofErr w:type="spellStart"/>
      <w:r>
        <w:rPr>
          <w:rFonts w:ascii="Times New Roman" w:eastAsia="Times New Roman" w:hAnsi="Times New Roman" w:cs="Times New Roman"/>
          <w:sz w:val="24"/>
          <w:szCs w:val="24"/>
        </w:rPr>
        <w:t>соцмережах</w:t>
      </w:r>
      <w:proofErr w:type="spellEnd"/>
      <w:r>
        <w:rPr>
          <w:rFonts w:ascii="Times New Roman" w:eastAsia="Times New Roman" w:hAnsi="Times New Roman" w:cs="Times New Roman"/>
          <w:sz w:val="24"/>
          <w:szCs w:val="24"/>
        </w:rPr>
        <w:t xml:space="preserve"> ботів та осіб з небезпечною поведінкою; розпізнавання недостовірних повідомлень (</w:t>
      </w:r>
      <w:proofErr w:type="spellStart"/>
      <w:r>
        <w:rPr>
          <w:rFonts w:ascii="Times New Roman" w:eastAsia="Times New Roman" w:hAnsi="Times New Roman" w:cs="Times New Roman"/>
          <w:sz w:val="24"/>
          <w:szCs w:val="24"/>
        </w:rPr>
        <w:t>fake-news</w:t>
      </w:r>
      <w:proofErr w:type="spellEnd"/>
      <w:r>
        <w:rPr>
          <w:rFonts w:ascii="Times New Roman" w:eastAsia="Times New Roman" w:hAnsi="Times New Roman" w:cs="Times New Roman"/>
          <w:sz w:val="24"/>
          <w:szCs w:val="24"/>
        </w:rPr>
        <w:t xml:space="preserve">); розпізнавання у </w:t>
      </w:r>
      <w:proofErr w:type="spellStart"/>
      <w:r>
        <w:rPr>
          <w:rFonts w:ascii="Times New Roman" w:eastAsia="Times New Roman" w:hAnsi="Times New Roman" w:cs="Times New Roman"/>
          <w:sz w:val="24"/>
          <w:szCs w:val="24"/>
        </w:rPr>
        <w:t>соцмережах</w:t>
      </w:r>
      <w:proofErr w:type="spellEnd"/>
      <w:r>
        <w:rPr>
          <w:rFonts w:ascii="Times New Roman" w:eastAsia="Times New Roman" w:hAnsi="Times New Roman" w:cs="Times New Roman"/>
          <w:sz w:val="24"/>
          <w:szCs w:val="24"/>
        </w:rPr>
        <w:t xml:space="preserve"> та ЗМІ  текстів, що мають ознаки ІПСО; генерація зв’язних текстів заданого змісту.</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93C47D"/>
          <w:sz w:val="24"/>
          <w:szCs w:val="24"/>
        </w:rPr>
        <w:t> </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Методологія дослідження (до 2 сторінок)</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 початку роботи буде здійснено закупівлю обладнання, побудову енергозабезпечення та віртуалізації кластера, оптимізацію роботи комп'ютерного кластеру та запуск його в експлуатацію. </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Після цього буде впроваджено методи і засоби забезпечення доступної роботи комплексної інфраструктури обчислювального кластера для вирішення наукових завдань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Симуляція експериментів з розпаду </w:t>
      </w:r>
      <w:proofErr w:type="spellStart"/>
      <w:r>
        <w:rPr>
          <w:rFonts w:ascii="Times New Roman" w:eastAsia="Times New Roman" w:hAnsi="Times New Roman" w:cs="Times New Roman"/>
          <w:sz w:val="24"/>
          <w:szCs w:val="24"/>
        </w:rPr>
        <w:t>динуклонних</w:t>
      </w:r>
      <w:proofErr w:type="spellEnd"/>
      <w:r>
        <w:rPr>
          <w:rFonts w:ascii="Times New Roman" w:eastAsia="Times New Roman" w:hAnsi="Times New Roman" w:cs="Times New Roman"/>
          <w:sz w:val="24"/>
          <w:szCs w:val="24"/>
        </w:rPr>
        <w:t xml:space="preserve"> систем (</w:t>
      </w:r>
      <w:proofErr w:type="spellStart"/>
      <w:r>
        <w:rPr>
          <w:rFonts w:ascii="Times New Roman" w:eastAsia="Times New Roman" w:hAnsi="Times New Roman" w:cs="Times New Roman"/>
          <w:sz w:val="24"/>
          <w:szCs w:val="24"/>
        </w:rPr>
        <w:t>динейтрон</w:t>
      </w:r>
      <w:proofErr w:type="spellEnd"/>
      <w:r>
        <w:rPr>
          <w:rFonts w:ascii="Times New Roman" w:eastAsia="Times New Roman" w:hAnsi="Times New Roman" w:cs="Times New Roman"/>
          <w:sz w:val="24"/>
          <w:szCs w:val="24"/>
        </w:rPr>
        <w:t xml:space="preserve">) розпочнеться з розробки моделі спектрометру для спостереження </w:t>
      </w:r>
      <w:proofErr w:type="spellStart"/>
      <w:r>
        <w:rPr>
          <w:rFonts w:ascii="Times New Roman" w:eastAsia="Times New Roman" w:hAnsi="Times New Roman" w:cs="Times New Roman"/>
          <w:sz w:val="24"/>
          <w:szCs w:val="24"/>
        </w:rPr>
        <w:t>динейтрону</w:t>
      </w:r>
      <w:proofErr w:type="spellEnd"/>
      <w:r>
        <w:rPr>
          <w:rFonts w:ascii="Times New Roman" w:eastAsia="Times New Roman" w:hAnsi="Times New Roman" w:cs="Times New Roman"/>
          <w:sz w:val="24"/>
          <w:szCs w:val="24"/>
        </w:rPr>
        <w:t xml:space="preserve"> з використанням кодів GEANT, TALYS, а також налагодження взаємодії розрахунків на базі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скриптів</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Валідація</w:t>
      </w:r>
      <w:proofErr w:type="spellEnd"/>
      <w:r>
        <w:rPr>
          <w:rFonts w:ascii="Times New Roman" w:eastAsia="Times New Roman" w:hAnsi="Times New Roman" w:cs="Times New Roman"/>
          <w:sz w:val="24"/>
          <w:szCs w:val="24"/>
        </w:rPr>
        <w:t xml:space="preserve"> експерименту з виміру спектру електронів та гамма-квантів з опроміненої мішені буде проведена за допомогою моделей розпаду </w:t>
      </w:r>
      <w:proofErr w:type="spellStart"/>
      <w:r>
        <w:rPr>
          <w:rFonts w:ascii="Times New Roman" w:eastAsia="Times New Roman" w:hAnsi="Times New Roman" w:cs="Times New Roman"/>
          <w:sz w:val="24"/>
          <w:szCs w:val="24"/>
        </w:rPr>
        <w:t>динейтрона</w:t>
      </w:r>
      <w:proofErr w:type="spellEnd"/>
      <w:r>
        <w:rPr>
          <w:rFonts w:ascii="Times New Roman" w:eastAsia="Times New Roman" w:hAnsi="Times New Roman" w:cs="Times New Roman"/>
          <w:sz w:val="24"/>
          <w:szCs w:val="24"/>
        </w:rPr>
        <w:t xml:space="preserve">. Прогнозування теплофізичних властивостей матеріалів і структур різної розмірності та морфології виконання тестових розрахунків коефіцієнта теплопровідності модельних </w:t>
      </w:r>
      <w:proofErr w:type="spellStart"/>
      <w:r>
        <w:rPr>
          <w:rFonts w:ascii="Times New Roman" w:eastAsia="Times New Roman" w:hAnsi="Times New Roman" w:cs="Times New Roman"/>
          <w:sz w:val="24"/>
          <w:szCs w:val="24"/>
        </w:rPr>
        <w:t>наноструктур</w:t>
      </w:r>
      <w:proofErr w:type="spellEnd"/>
      <w:r>
        <w:rPr>
          <w:rFonts w:ascii="Times New Roman" w:eastAsia="Times New Roman" w:hAnsi="Times New Roman" w:cs="Times New Roman"/>
          <w:sz w:val="24"/>
          <w:szCs w:val="24"/>
        </w:rPr>
        <w:t xml:space="preserve"> розрахунок температурних </w:t>
      </w:r>
      <w:proofErr w:type="spellStart"/>
      <w:r>
        <w:rPr>
          <w:rFonts w:ascii="Times New Roman" w:eastAsia="Times New Roman" w:hAnsi="Times New Roman" w:cs="Times New Roman"/>
          <w:sz w:val="24"/>
          <w:szCs w:val="24"/>
        </w:rPr>
        <w:t>залежностей</w:t>
      </w:r>
      <w:proofErr w:type="spellEnd"/>
      <w:r>
        <w:rPr>
          <w:rFonts w:ascii="Times New Roman" w:eastAsia="Times New Roman" w:hAnsi="Times New Roman" w:cs="Times New Roman"/>
          <w:sz w:val="24"/>
          <w:szCs w:val="24"/>
        </w:rPr>
        <w:t xml:space="preserve"> коефіцієнта теплопровідності матеріалів, їх аналіз та оптимізація морфології для енергоефективних застосувань буде здійснено методами молекулярно-динамічного моделювання процесів теплового транспорту в </w:t>
      </w:r>
      <w:proofErr w:type="spellStart"/>
      <w:r>
        <w:rPr>
          <w:rFonts w:ascii="Times New Roman" w:eastAsia="Times New Roman" w:hAnsi="Times New Roman" w:cs="Times New Roman"/>
          <w:sz w:val="24"/>
          <w:szCs w:val="24"/>
        </w:rPr>
        <w:t>твердотільних</w:t>
      </w:r>
      <w:proofErr w:type="spellEnd"/>
      <w:r>
        <w:rPr>
          <w:rFonts w:ascii="Times New Roman" w:eastAsia="Times New Roman" w:hAnsi="Times New Roman" w:cs="Times New Roman"/>
          <w:sz w:val="24"/>
          <w:szCs w:val="24"/>
        </w:rPr>
        <w:t xml:space="preserve"> структурах, теплового транспорту в напівпровідникових структурах різної розмірності: </w:t>
      </w:r>
      <w:proofErr w:type="spellStart"/>
      <w:r>
        <w:rPr>
          <w:rFonts w:ascii="Times New Roman" w:eastAsia="Times New Roman" w:hAnsi="Times New Roman" w:cs="Times New Roman"/>
          <w:sz w:val="24"/>
          <w:szCs w:val="24"/>
        </w:rPr>
        <w:t>нанонитки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нанокомпозити</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мультишарові</w:t>
      </w:r>
      <w:proofErr w:type="spellEnd"/>
      <w:r>
        <w:rPr>
          <w:rFonts w:ascii="Times New Roman" w:eastAsia="Times New Roman" w:hAnsi="Times New Roman" w:cs="Times New Roman"/>
          <w:sz w:val="24"/>
          <w:szCs w:val="24"/>
        </w:rPr>
        <w:t xml:space="preserve"> структури. інтеграція VIRGO.UA у платформу </w:t>
      </w:r>
      <w:proofErr w:type="spellStart"/>
      <w:r>
        <w:rPr>
          <w:rFonts w:ascii="Times New Roman" w:eastAsia="Times New Roman" w:hAnsi="Times New Roman" w:cs="Times New Roman"/>
          <w:sz w:val="24"/>
          <w:szCs w:val="24"/>
        </w:rPr>
        <w:t>Multi</w:t>
      </w:r>
      <w:proofErr w:type="spellEnd"/>
      <w:r>
        <w:rPr>
          <w:rFonts w:ascii="Times New Roman" w:eastAsia="Times New Roman" w:hAnsi="Times New Roman" w:cs="Times New Roman"/>
          <w:sz w:val="24"/>
          <w:szCs w:val="24"/>
        </w:rPr>
        <w:t xml:space="preserve">-Messenger </w:t>
      </w:r>
      <w:proofErr w:type="spellStart"/>
      <w:r>
        <w:rPr>
          <w:rFonts w:ascii="Times New Roman" w:eastAsia="Times New Roman" w:hAnsi="Times New Roman" w:cs="Times New Roman"/>
          <w:sz w:val="24"/>
          <w:szCs w:val="24"/>
        </w:rPr>
        <w:t>Online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Analysis</w:t>
      </w:r>
      <w:proofErr w:type="spellEnd"/>
      <w:r>
        <w:rPr>
          <w:rFonts w:ascii="Times New Roman" w:eastAsia="Times New Roman" w:hAnsi="Times New Roman" w:cs="Times New Roman"/>
          <w:sz w:val="24"/>
          <w:szCs w:val="24"/>
        </w:rPr>
        <w:t xml:space="preserve">  супроводжуватиметься розробкою програмних кодів на основі машинного навчання для інноваційного аналізу даних гамма- та </w:t>
      </w:r>
      <w:proofErr w:type="spellStart"/>
      <w:r>
        <w:rPr>
          <w:rFonts w:ascii="Times New Roman" w:eastAsia="Times New Roman" w:hAnsi="Times New Roman" w:cs="Times New Roman"/>
          <w:sz w:val="24"/>
          <w:szCs w:val="24"/>
        </w:rPr>
        <w:t>нейтринних</w:t>
      </w:r>
      <w:proofErr w:type="spellEnd"/>
      <w:r>
        <w:rPr>
          <w:rFonts w:ascii="Times New Roman" w:eastAsia="Times New Roman" w:hAnsi="Times New Roman" w:cs="Times New Roman"/>
          <w:sz w:val="24"/>
          <w:szCs w:val="24"/>
        </w:rPr>
        <w:t xml:space="preserve"> спостережень, для побудови фізичних моделей прискорення космічних променів та генерування багатоканальних сигналів від астрофізичних об’єктів, розробкою інноваційного (на основі машинного навчання) аналізу даних гамма- та </w:t>
      </w:r>
      <w:proofErr w:type="spellStart"/>
      <w:r>
        <w:rPr>
          <w:rFonts w:ascii="Times New Roman" w:eastAsia="Times New Roman" w:hAnsi="Times New Roman" w:cs="Times New Roman"/>
          <w:sz w:val="24"/>
          <w:szCs w:val="24"/>
        </w:rPr>
        <w:t>нейтринних</w:t>
      </w:r>
      <w:proofErr w:type="spellEnd"/>
      <w:r>
        <w:rPr>
          <w:rFonts w:ascii="Times New Roman" w:eastAsia="Times New Roman" w:hAnsi="Times New Roman" w:cs="Times New Roman"/>
          <w:sz w:val="24"/>
          <w:szCs w:val="24"/>
        </w:rPr>
        <w:t xml:space="preserve"> спостережень, для побудови фізичних моделей прискорення космічних променів та генерування багатоканальних сигналів від астрофізичних об’єктів., картографуванням регіонів для поєднання аналізу даних для вивчення ізольованих точкових і протяжних джерел у широких кутових областях гамма- та </w:t>
      </w:r>
      <w:proofErr w:type="spellStart"/>
      <w:r>
        <w:rPr>
          <w:rFonts w:ascii="Times New Roman" w:eastAsia="Times New Roman" w:hAnsi="Times New Roman" w:cs="Times New Roman"/>
          <w:sz w:val="24"/>
          <w:szCs w:val="24"/>
        </w:rPr>
        <w:t>нейтринних</w:t>
      </w:r>
      <w:proofErr w:type="spellEnd"/>
      <w:r>
        <w:rPr>
          <w:rFonts w:ascii="Times New Roman" w:eastAsia="Times New Roman" w:hAnsi="Times New Roman" w:cs="Times New Roman"/>
          <w:sz w:val="24"/>
          <w:szCs w:val="24"/>
        </w:rPr>
        <w:t xml:space="preserve"> спостережень астрофізичних об’єктів, побудовою фізичних моделей прискорення космічних променів та генерування багатоканальних сигналів на основі картографування регіонів і </w:t>
      </w:r>
      <w:r>
        <w:rPr>
          <w:rFonts w:ascii="Times New Roman" w:eastAsia="Times New Roman" w:hAnsi="Times New Roman" w:cs="Times New Roman"/>
          <w:sz w:val="24"/>
          <w:szCs w:val="24"/>
        </w:rPr>
        <w:lastRenderedPageBreak/>
        <w:t xml:space="preserve">поєднання аналізу даних для вивчення ізольованих точкових і протяжних джерел у широких кутових областях гамма- та </w:t>
      </w:r>
      <w:proofErr w:type="spellStart"/>
      <w:r>
        <w:rPr>
          <w:rFonts w:ascii="Times New Roman" w:eastAsia="Times New Roman" w:hAnsi="Times New Roman" w:cs="Times New Roman"/>
          <w:sz w:val="24"/>
          <w:szCs w:val="24"/>
        </w:rPr>
        <w:t>нейтринних</w:t>
      </w:r>
      <w:proofErr w:type="spellEnd"/>
      <w:r>
        <w:rPr>
          <w:rFonts w:ascii="Times New Roman" w:eastAsia="Times New Roman" w:hAnsi="Times New Roman" w:cs="Times New Roman"/>
          <w:sz w:val="24"/>
          <w:szCs w:val="24"/>
        </w:rPr>
        <w:t xml:space="preserve"> спостережень астрофізичних об’єктів. </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Квантово-хімічні дослідження (в наближенні DFT та MCSCF) електронної будови та механізмів реакцій на їх основі буде здійснено за допомогою пакетів квантово-хімічних та програм для молекулярної механіки та динаміки, молекулярного </w:t>
      </w:r>
      <w:proofErr w:type="spellStart"/>
      <w:r>
        <w:rPr>
          <w:rFonts w:ascii="Times New Roman" w:eastAsia="Times New Roman" w:hAnsi="Times New Roman" w:cs="Times New Roman"/>
          <w:sz w:val="24"/>
          <w:szCs w:val="24"/>
        </w:rPr>
        <w:t>докінгу</w:t>
      </w:r>
      <w:proofErr w:type="spellEnd"/>
      <w:r>
        <w:rPr>
          <w:rFonts w:ascii="Times New Roman" w:eastAsia="Times New Roman" w:hAnsi="Times New Roman" w:cs="Times New Roman"/>
          <w:sz w:val="24"/>
          <w:szCs w:val="24"/>
        </w:rPr>
        <w:t xml:space="preserve"> та молекулярної динаміки. </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Розроблення технології побудови великих нейронних лінгвістичних моделей буде здійснено шляхом побудови нових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шляхом обробки текстових корпусів.</w:t>
      </w:r>
    </w:p>
    <w:p w:rsidR="00060B24" w:rsidRDefault="00060B24">
      <w:pPr>
        <w:spacing w:line="240" w:lineRule="auto"/>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Інформація про наявну матеріально-технічну базу, обладнання та устаткування, необхідні для виконання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 1 сторінки)</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Обчислювальний кластер інформаційно-обчислювального центру (ІОЦ) Київського національного університету імені Тараса Шевченка </w:t>
      </w:r>
      <w:hyperlink r:id="rId9">
        <w:r>
          <w:rPr>
            <w:rFonts w:ascii="Times New Roman" w:eastAsia="Times New Roman" w:hAnsi="Times New Roman" w:cs="Times New Roman"/>
            <w:color w:val="0000FF"/>
            <w:sz w:val="24"/>
            <w:szCs w:val="24"/>
            <w:u w:val="single"/>
          </w:rPr>
          <w:t>http://cluster.univ.kiev.ua/</w:t>
        </w:r>
      </w:hyperlink>
      <w:r>
        <w:rPr>
          <w:rFonts w:ascii="Times New Roman" w:eastAsia="Times New Roman" w:hAnsi="Times New Roman" w:cs="Times New Roman"/>
          <w:sz w:val="24"/>
          <w:szCs w:val="24"/>
        </w:rPr>
        <w:t xml:space="preserve">, який буде розширено, а обладнання (яке ще не застаріло) – інтегровано у новий кластер, що буде створено за </w:t>
      </w:r>
      <w:proofErr w:type="spellStart"/>
      <w:r>
        <w:rPr>
          <w:rFonts w:ascii="Times New Roman" w:eastAsia="Times New Roman" w:hAnsi="Times New Roman" w:cs="Times New Roman"/>
          <w:sz w:val="24"/>
          <w:szCs w:val="24"/>
        </w:rPr>
        <w:t>проєктом</w:t>
      </w:r>
      <w:proofErr w:type="spellEnd"/>
      <w:r>
        <w:rPr>
          <w:rFonts w:ascii="Times New Roman" w:eastAsia="Times New Roman" w:hAnsi="Times New Roman" w:cs="Times New Roman"/>
          <w:sz w:val="24"/>
          <w:szCs w:val="24"/>
        </w:rPr>
        <w:t>. Створений кластер гармонійно впишеться в існуючу кадрову та технічну інфраструктуру Університету, що забезпечить його подальший сталий розвиток.</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Обчислювальний кластер ІОЦ КНУ має 10 обчислювальних вузлів </w:t>
      </w:r>
      <w:proofErr w:type="spellStart"/>
      <w:r>
        <w:rPr>
          <w:rFonts w:ascii="Times New Roman" w:eastAsia="Times New Roman" w:hAnsi="Times New Roman" w:cs="Times New Roman"/>
          <w:sz w:val="24"/>
          <w:szCs w:val="24"/>
        </w:rPr>
        <w:t>Supermicro</w:t>
      </w:r>
      <w:proofErr w:type="spellEnd"/>
      <w:r>
        <w:rPr>
          <w:rFonts w:ascii="Times New Roman" w:eastAsia="Times New Roman" w:hAnsi="Times New Roman" w:cs="Times New Roman"/>
          <w:sz w:val="24"/>
          <w:szCs w:val="24"/>
        </w:rPr>
        <w:t xml:space="preserve"> SYS- 6017R-TLF, E5-2620, DDR3-1600 32GB, 120 фізичних </w:t>
      </w:r>
      <w:proofErr w:type="spellStart"/>
      <w:r>
        <w:rPr>
          <w:rFonts w:ascii="Times New Roman" w:eastAsia="Times New Roman" w:hAnsi="Times New Roman" w:cs="Times New Roman"/>
          <w:sz w:val="24"/>
          <w:szCs w:val="24"/>
        </w:rPr>
        <w:t>ядер</w:t>
      </w:r>
      <w:proofErr w:type="spellEnd"/>
      <w:r>
        <w:rPr>
          <w:rFonts w:ascii="Times New Roman" w:eastAsia="Times New Roman" w:hAnsi="Times New Roman" w:cs="Times New Roman"/>
          <w:sz w:val="24"/>
          <w:szCs w:val="24"/>
        </w:rPr>
        <w:t xml:space="preserve"> (240 віртуальних </w:t>
      </w:r>
      <w:proofErr w:type="spellStart"/>
      <w:r>
        <w:rPr>
          <w:rFonts w:ascii="Times New Roman" w:eastAsia="Times New Roman" w:hAnsi="Times New Roman" w:cs="Times New Roman"/>
          <w:sz w:val="24"/>
          <w:szCs w:val="24"/>
        </w:rPr>
        <w:t>ядер</w:t>
      </w:r>
      <w:proofErr w:type="spellEnd"/>
      <w:r>
        <w:rPr>
          <w:rFonts w:ascii="Times New Roman" w:eastAsia="Times New Roman" w:hAnsi="Times New Roman" w:cs="Times New Roman"/>
          <w:sz w:val="24"/>
          <w:szCs w:val="24"/>
        </w:rPr>
        <w:t xml:space="preserve"> з технологією </w:t>
      </w:r>
      <w:proofErr w:type="spellStart"/>
      <w:r>
        <w:rPr>
          <w:rFonts w:ascii="Times New Roman" w:eastAsia="Times New Roman" w:hAnsi="Times New Roman" w:cs="Times New Roman"/>
          <w:sz w:val="24"/>
          <w:szCs w:val="24"/>
        </w:rPr>
        <w:t>HyperThreading</w:t>
      </w:r>
      <w:proofErr w:type="spellEnd"/>
      <w:r>
        <w:rPr>
          <w:rFonts w:ascii="Times New Roman" w:eastAsia="Times New Roman" w:hAnsi="Times New Roman" w:cs="Times New Roman"/>
          <w:sz w:val="24"/>
          <w:szCs w:val="24"/>
        </w:rPr>
        <w:t xml:space="preserve">), виміряна обчислювальна потужність близько 1 </w:t>
      </w:r>
      <w:proofErr w:type="spellStart"/>
      <w:r>
        <w:rPr>
          <w:rFonts w:ascii="Times New Roman" w:eastAsia="Times New Roman" w:hAnsi="Times New Roman" w:cs="Times New Roman"/>
          <w:sz w:val="24"/>
          <w:szCs w:val="24"/>
        </w:rPr>
        <w:t>ТФлопс</w:t>
      </w:r>
      <w:proofErr w:type="spellEnd"/>
      <w:r>
        <w:rPr>
          <w:rFonts w:ascii="Times New Roman" w:eastAsia="Times New Roman" w:hAnsi="Times New Roman" w:cs="Times New Roman"/>
          <w:sz w:val="24"/>
          <w:szCs w:val="24"/>
        </w:rPr>
        <w:t xml:space="preserve">, оперативної пам’яті 1.3 </w:t>
      </w:r>
      <w:proofErr w:type="spellStart"/>
      <w:r>
        <w:rPr>
          <w:rFonts w:ascii="Times New Roman" w:eastAsia="Times New Roman" w:hAnsi="Times New Roman" w:cs="Times New Roman"/>
          <w:sz w:val="24"/>
          <w:szCs w:val="24"/>
        </w:rPr>
        <w:t>ГБайти</w:t>
      </w:r>
      <w:proofErr w:type="spellEnd"/>
      <w:r>
        <w:rPr>
          <w:rFonts w:ascii="Times New Roman" w:eastAsia="Times New Roman" w:hAnsi="Times New Roman" w:cs="Times New Roman"/>
          <w:sz w:val="24"/>
          <w:szCs w:val="24"/>
        </w:rPr>
        <w:t xml:space="preserve"> на ядро.</w:t>
      </w:r>
      <w:r>
        <w:t xml:space="preserve"> </w:t>
      </w:r>
      <w:r>
        <w:rPr>
          <w:rFonts w:ascii="Times New Roman" w:eastAsia="Times New Roman" w:hAnsi="Times New Roman" w:cs="Times New Roman"/>
          <w:sz w:val="24"/>
          <w:szCs w:val="24"/>
        </w:rPr>
        <w:t xml:space="preserve">Кластер ІОЦ КНУ є першим обчислювальним ресурсом України для вирішення широкого кола задач (з 1999 р.) і незважаючи на застарілість і несправність частини обладнання цей кластер є діючим і постійно використовується для наукових досліджень та освітнього процесу науковцями, викладачами, аспірантами, студентами університету, інших наукових установ України, а також закордонними користувачами. Кластер університету є частиною </w:t>
      </w:r>
      <w:proofErr w:type="spellStart"/>
      <w:r>
        <w:rPr>
          <w:rFonts w:ascii="Times New Roman" w:eastAsia="Times New Roman" w:hAnsi="Times New Roman" w:cs="Times New Roman"/>
          <w:sz w:val="24"/>
          <w:szCs w:val="24"/>
        </w:rPr>
        <w:t>Грід</w:t>
      </w:r>
      <w:proofErr w:type="spellEnd"/>
      <w:r>
        <w:rPr>
          <w:rFonts w:ascii="Times New Roman" w:eastAsia="Times New Roman" w:hAnsi="Times New Roman" w:cs="Times New Roman"/>
          <w:sz w:val="24"/>
          <w:szCs w:val="24"/>
        </w:rPr>
        <w:t xml:space="preserve">-інфраструктури для наукових та освітніх установ України (http://grid.org.ua/monitor/) і підключений до європейських </w:t>
      </w:r>
      <w:proofErr w:type="spellStart"/>
      <w:r>
        <w:rPr>
          <w:rFonts w:ascii="Times New Roman" w:eastAsia="Times New Roman" w:hAnsi="Times New Roman" w:cs="Times New Roman"/>
          <w:sz w:val="24"/>
          <w:szCs w:val="24"/>
        </w:rPr>
        <w:t>Грід-інфраструктур</w:t>
      </w:r>
      <w:proofErr w:type="spellEnd"/>
      <w:r>
        <w:rPr>
          <w:rFonts w:ascii="Times New Roman" w:eastAsia="Times New Roman" w:hAnsi="Times New Roman" w:cs="Times New Roman"/>
          <w:sz w:val="24"/>
          <w:szCs w:val="24"/>
        </w:rPr>
        <w:t xml:space="preserve">. Наразі на кластері зареєстровано близько 60 локальних користувачів і ще більше 400 користувачів використовують кластер ІОЦ КНУ через </w:t>
      </w:r>
      <w:proofErr w:type="spellStart"/>
      <w:r>
        <w:rPr>
          <w:rFonts w:ascii="Times New Roman" w:eastAsia="Times New Roman" w:hAnsi="Times New Roman" w:cs="Times New Roman"/>
          <w:sz w:val="24"/>
          <w:szCs w:val="24"/>
        </w:rPr>
        <w:t>Грід</w:t>
      </w:r>
      <w:proofErr w:type="spellEnd"/>
      <w:r>
        <w:rPr>
          <w:rFonts w:ascii="Times New Roman" w:eastAsia="Times New Roman" w:hAnsi="Times New Roman" w:cs="Times New Roman"/>
          <w:sz w:val="24"/>
          <w:szCs w:val="24"/>
        </w:rPr>
        <w:t xml:space="preserve">-інфраструктуру (https://voms.grid.org.ua/voms/?vo=testbed.univ.kiev.ua). На кластері встановлено і використовується більше 100 різних пакетів прикладних програм для моделювання у різних галузях і ці пакети періодично оновлюються. </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Очікувані  результати виконання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 1 сторінки ):</w:t>
      </w:r>
    </w:p>
    <w:p w:rsidR="00060B24" w:rsidRDefault="00060B24">
      <w:pPr>
        <w:spacing w:line="240" w:lineRule="auto"/>
        <w:jc w:val="both"/>
        <w:rPr>
          <w:rFonts w:ascii="Times New Roman" w:eastAsia="Times New Roman" w:hAnsi="Times New Roman" w:cs="Times New Roman"/>
          <w:color w:val="000000"/>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 Опис наукової або науково-технічної продукції, яка буде створена в результаті виконання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(із зазначенням її очікуваних якісних та кількісних (технічних) характеристик).</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Головним організаційно-науковим результатом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буде створення в КНУ потужного обчислювального кластеру, доступного науковій спільноті України (КР1-КР2). </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Наукові результати досліджень на створеному кластері будуть такими: </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w:t>
      </w:r>
      <w:r>
        <w:rPr>
          <w:rFonts w:ascii="Times New Roman" w:eastAsia="Times New Roman" w:hAnsi="Times New Roman" w:cs="Times New Roman"/>
          <w:sz w:val="24"/>
          <w:szCs w:val="24"/>
        </w:rPr>
        <w:t> </w:t>
      </w:r>
      <w:r>
        <w:rPr>
          <w:rFonts w:ascii="Times New Roman" w:eastAsia="Times New Roman" w:hAnsi="Times New Roman" w:cs="Times New Roman"/>
          <w:color w:val="000000"/>
          <w:sz w:val="24"/>
          <w:szCs w:val="24"/>
        </w:rPr>
        <w:t xml:space="preserve">3: Інформація про конформацію та електронну будову молекул – будівельних блоків для потреб медичної хімії, їх реакційну здатність, механізми відповідних хімічних реакцій та стабільність їх продуктів, взаємодію молекул із біологічними мішенями. </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КР 4: Результати симуляції розпаду </w:t>
      </w:r>
      <w:proofErr w:type="spellStart"/>
      <w:r>
        <w:rPr>
          <w:rFonts w:ascii="Times New Roman" w:eastAsia="Times New Roman" w:hAnsi="Times New Roman" w:cs="Times New Roman"/>
          <w:color w:val="000000"/>
          <w:sz w:val="24"/>
          <w:szCs w:val="24"/>
        </w:rPr>
        <w:t>двонуклонних</w:t>
      </w:r>
      <w:proofErr w:type="spellEnd"/>
      <w:r>
        <w:rPr>
          <w:rFonts w:ascii="Times New Roman" w:eastAsia="Times New Roman" w:hAnsi="Times New Roman" w:cs="Times New Roman"/>
          <w:color w:val="000000"/>
          <w:sz w:val="24"/>
          <w:szCs w:val="24"/>
        </w:rPr>
        <w:t xml:space="preserve"> систем в пакеті GEANT (планується видання 1 або 2 публікацій </w:t>
      </w:r>
      <w:proofErr w:type="spellStart"/>
      <w:r>
        <w:rPr>
          <w:rFonts w:ascii="Times New Roman" w:eastAsia="Times New Roman" w:hAnsi="Times New Roman" w:cs="Times New Roman"/>
          <w:color w:val="000000"/>
          <w:sz w:val="24"/>
          <w:szCs w:val="24"/>
        </w:rPr>
        <w:t>квартилю</w:t>
      </w:r>
      <w:proofErr w:type="spellEnd"/>
      <w:r>
        <w:rPr>
          <w:rFonts w:ascii="Times New Roman" w:eastAsia="Times New Roman" w:hAnsi="Times New Roman" w:cs="Times New Roman"/>
          <w:color w:val="000000"/>
          <w:sz w:val="24"/>
          <w:szCs w:val="24"/>
        </w:rPr>
        <w:t xml:space="preserve"> Q1-Q2), а також знання про фізичні механізми теплового транспорту в </w:t>
      </w:r>
      <w:proofErr w:type="spellStart"/>
      <w:r>
        <w:rPr>
          <w:rFonts w:ascii="Times New Roman" w:eastAsia="Times New Roman" w:hAnsi="Times New Roman" w:cs="Times New Roman"/>
          <w:color w:val="000000"/>
          <w:sz w:val="24"/>
          <w:szCs w:val="24"/>
        </w:rPr>
        <w:t>твердотільних</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наноструктурах</w:t>
      </w:r>
      <w:proofErr w:type="spellEnd"/>
      <w:r>
        <w:rPr>
          <w:rFonts w:ascii="Times New Roman" w:eastAsia="Times New Roman" w:hAnsi="Times New Roman" w:cs="Times New Roman"/>
          <w:color w:val="000000"/>
          <w:sz w:val="24"/>
          <w:szCs w:val="24"/>
        </w:rPr>
        <w:t xml:space="preserve"> різної розмірності і морфології для енергоефективних застосувань та систем теплового контролю (планується не менше 2 статей в фахових виданнях, включаючи журнали </w:t>
      </w:r>
      <w:proofErr w:type="spellStart"/>
      <w:r>
        <w:rPr>
          <w:rFonts w:ascii="Times New Roman" w:eastAsia="Times New Roman" w:hAnsi="Times New Roman" w:cs="Times New Roman"/>
          <w:color w:val="000000"/>
          <w:sz w:val="24"/>
          <w:szCs w:val="24"/>
        </w:rPr>
        <w:t>квартилю</w:t>
      </w:r>
      <w:proofErr w:type="spellEnd"/>
      <w:r>
        <w:rPr>
          <w:rFonts w:ascii="Times New Roman" w:eastAsia="Times New Roman" w:hAnsi="Times New Roman" w:cs="Times New Roman"/>
          <w:color w:val="000000"/>
          <w:sz w:val="24"/>
          <w:szCs w:val="24"/>
        </w:rPr>
        <w:t xml:space="preserve"> Q1-Q2), спостереження </w:t>
      </w:r>
      <w:proofErr w:type="spellStart"/>
      <w:r>
        <w:rPr>
          <w:rFonts w:ascii="Times New Roman" w:eastAsia="Times New Roman" w:hAnsi="Times New Roman" w:cs="Times New Roman"/>
          <w:color w:val="000000"/>
          <w:sz w:val="24"/>
          <w:szCs w:val="24"/>
        </w:rPr>
        <w:t>астрофізичнах</w:t>
      </w:r>
      <w:proofErr w:type="spellEnd"/>
      <w:r>
        <w:rPr>
          <w:rFonts w:ascii="Times New Roman" w:eastAsia="Times New Roman" w:hAnsi="Times New Roman" w:cs="Times New Roman"/>
          <w:color w:val="000000"/>
          <w:sz w:val="24"/>
          <w:szCs w:val="24"/>
        </w:rPr>
        <w:t xml:space="preserve"> джерел у режимі, наближеному до реального часу (заплановано публікацію не менше 2 статей у фахових виданнях, включаючи журнали </w:t>
      </w:r>
      <w:proofErr w:type="spellStart"/>
      <w:r>
        <w:rPr>
          <w:rFonts w:ascii="Times New Roman" w:eastAsia="Times New Roman" w:hAnsi="Times New Roman" w:cs="Times New Roman"/>
          <w:color w:val="000000"/>
          <w:sz w:val="24"/>
          <w:szCs w:val="24"/>
        </w:rPr>
        <w:t>квартилю</w:t>
      </w:r>
      <w:proofErr w:type="spellEnd"/>
      <w:r>
        <w:rPr>
          <w:rFonts w:ascii="Times New Roman" w:eastAsia="Times New Roman" w:hAnsi="Times New Roman" w:cs="Times New Roman"/>
          <w:color w:val="000000"/>
          <w:sz w:val="24"/>
          <w:szCs w:val="24"/>
        </w:rPr>
        <w:t xml:space="preserve"> Q1-Q2). </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КР5: Буде отримана технологія розроблення, розширення, адаптації та тонкого налаштування великих нейронних моделей на прикладі створення великих лінгвістичних моделей і прикладних систем на основі цих моделей (планується заявка на патент). </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 Обґрунтування переваг очікуваної наукової або науково-технічної продукції порівнян</w:t>
      </w:r>
      <w:r>
        <w:rPr>
          <w:rFonts w:ascii="Times New Roman" w:eastAsia="Times New Roman" w:hAnsi="Times New Roman" w:cs="Times New Roman"/>
          <w:sz w:val="24"/>
          <w:szCs w:val="24"/>
        </w:rPr>
        <w:t>о</w:t>
      </w:r>
      <w:r>
        <w:rPr>
          <w:rFonts w:ascii="Times New Roman" w:eastAsia="Times New Roman" w:hAnsi="Times New Roman" w:cs="Times New Roman"/>
          <w:color w:val="000000"/>
          <w:sz w:val="24"/>
          <w:szCs w:val="24"/>
        </w:rPr>
        <w:t xml:space="preserve"> з аналогами </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На сьогодні аналогів такої дослідницької інфраструктури, як потужний комп’ютерний кластер, в Україні немає. Створений в процесі виконання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кластер буде мати характеристики, що наближатимуть його до кращих обчислювальних центрів Європи.</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Перевагою розрахунків на моделях, що плануються використати за </w:t>
      </w:r>
      <w:proofErr w:type="spellStart"/>
      <w:r>
        <w:rPr>
          <w:rFonts w:ascii="Times New Roman" w:eastAsia="Times New Roman" w:hAnsi="Times New Roman" w:cs="Times New Roman"/>
          <w:sz w:val="24"/>
          <w:szCs w:val="24"/>
        </w:rPr>
        <w:t>проєктом</w:t>
      </w:r>
      <w:proofErr w:type="spellEnd"/>
      <w:r>
        <w:rPr>
          <w:rFonts w:ascii="Times New Roman" w:eastAsia="Times New Roman" w:hAnsi="Times New Roman" w:cs="Times New Roman"/>
          <w:sz w:val="24"/>
          <w:szCs w:val="24"/>
        </w:rPr>
        <w:t xml:space="preserve"> (моделювання у ядерній фізиці, фізиці твердого тіла, </w:t>
      </w:r>
      <w:proofErr w:type="spellStart"/>
      <w:r>
        <w:rPr>
          <w:rFonts w:ascii="Times New Roman" w:eastAsia="Times New Roman" w:hAnsi="Times New Roman" w:cs="Times New Roman"/>
          <w:sz w:val="24"/>
          <w:szCs w:val="24"/>
        </w:rPr>
        <w:t>хемоінформатиці</w:t>
      </w:r>
      <w:proofErr w:type="spellEnd"/>
      <w:r>
        <w:rPr>
          <w:rFonts w:ascii="Times New Roman" w:eastAsia="Times New Roman" w:hAnsi="Times New Roman" w:cs="Times New Roman"/>
          <w:sz w:val="24"/>
          <w:szCs w:val="24"/>
        </w:rPr>
        <w:t xml:space="preserve">) буде їх виконання на високому рівні теорії, що не властиво для більшості подібних робіт. </w:t>
      </w:r>
      <w:r>
        <w:rPr>
          <w:rFonts w:ascii="Times New Roman" w:eastAsia="Times New Roman" w:hAnsi="Times New Roman" w:cs="Times New Roman"/>
          <w:color w:val="000000"/>
          <w:sz w:val="24"/>
          <w:szCs w:val="24"/>
        </w:rPr>
        <w:t xml:space="preserve">Перевагою технології великих нейронних моделей буде максимальна оптимізація всіх обчислювальних процесів з урахуванням можливостей наявного устаткування побудованого обчислювального кластера. Розроблена технологія буде орієнтована на побудову та адаптацію великих лінгвістичних моделей до української мови, українських </w:t>
      </w:r>
      <w:proofErr w:type="spellStart"/>
      <w:r>
        <w:rPr>
          <w:rFonts w:ascii="Times New Roman" w:eastAsia="Times New Roman" w:hAnsi="Times New Roman" w:cs="Times New Roman"/>
          <w:color w:val="000000"/>
          <w:sz w:val="24"/>
          <w:szCs w:val="24"/>
        </w:rPr>
        <w:t>мовних</w:t>
      </w:r>
      <w:proofErr w:type="spellEnd"/>
      <w:r>
        <w:rPr>
          <w:rFonts w:ascii="Times New Roman" w:eastAsia="Times New Roman" w:hAnsi="Times New Roman" w:cs="Times New Roman"/>
          <w:color w:val="000000"/>
          <w:sz w:val="24"/>
          <w:szCs w:val="24"/>
        </w:rPr>
        <w:t xml:space="preserve"> реалій, смислового поля тощо. Тому технологія буде потужним  інструментом для розроблення низки прикладних систем інтелектуальної обробки саме українськомовних текстів., що існують, на підставі порівняльного аналізу.</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Обґрунтування практичної цінності запланованих результатів реалізації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для економіки та суспільства.</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Створення в КНУ власного потужного комп’ютерного кластера позитивно вплине на якість публікацій в міжнародних наукових виданнях, освітній рівень студентів та докторантів, а також конкурентоздатність науковців КНУ при подачі заявок на фінансування в рамках європейських та міжнародних наукових </w:t>
      </w:r>
      <w:proofErr w:type="spellStart"/>
      <w:r>
        <w:rPr>
          <w:rFonts w:ascii="Times New Roman" w:eastAsia="Times New Roman" w:hAnsi="Times New Roman" w:cs="Times New Roman"/>
          <w:sz w:val="24"/>
          <w:szCs w:val="24"/>
        </w:rPr>
        <w:t>проєктів</w:t>
      </w:r>
      <w:proofErr w:type="spellEnd"/>
      <w:r>
        <w:rPr>
          <w:rFonts w:ascii="Times New Roman" w:eastAsia="Times New Roman" w:hAnsi="Times New Roman" w:cs="Times New Roman"/>
          <w:sz w:val="24"/>
          <w:szCs w:val="24"/>
        </w:rPr>
        <w:t>, дозволить суттєво підвищити рівень наукових досліджень в галузі комп’ютерних хімії, біології, фармакології та викладання студентам та докторантам відповідних навчальних дисциплін, які вимагають залучення розрахункових ресурсів та надання студентам (докторантам) доступу до кластера (КР1-КР2).</w:t>
      </w: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Дослідження хімічних </w:t>
      </w:r>
      <w:proofErr w:type="spellStart"/>
      <w:r>
        <w:rPr>
          <w:rFonts w:ascii="Times New Roman" w:eastAsia="Times New Roman" w:hAnsi="Times New Roman" w:cs="Times New Roman"/>
          <w:color w:val="000000"/>
          <w:sz w:val="24"/>
          <w:szCs w:val="24"/>
        </w:rPr>
        <w:t>сполук</w:t>
      </w:r>
      <w:proofErr w:type="spellEnd"/>
      <w:r>
        <w:rPr>
          <w:rFonts w:ascii="Times New Roman" w:eastAsia="Times New Roman" w:hAnsi="Times New Roman" w:cs="Times New Roman"/>
          <w:color w:val="000000"/>
          <w:sz w:val="24"/>
          <w:szCs w:val="24"/>
        </w:rPr>
        <w:t xml:space="preserve">, що планується за </w:t>
      </w:r>
      <w:proofErr w:type="spellStart"/>
      <w:r>
        <w:rPr>
          <w:rFonts w:ascii="Times New Roman" w:eastAsia="Times New Roman" w:hAnsi="Times New Roman" w:cs="Times New Roman"/>
          <w:color w:val="000000"/>
          <w:sz w:val="24"/>
          <w:szCs w:val="24"/>
        </w:rPr>
        <w:t>проєктом</w:t>
      </w:r>
      <w:proofErr w:type="spellEnd"/>
      <w:r>
        <w:rPr>
          <w:rFonts w:ascii="Times New Roman" w:eastAsia="Times New Roman" w:hAnsi="Times New Roman" w:cs="Times New Roman"/>
          <w:color w:val="000000"/>
          <w:sz w:val="24"/>
          <w:szCs w:val="24"/>
        </w:rPr>
        <w:t xml:space="preserve">, створить передумови для оптимізації умов реакцій цих </w:t>
      </w:r>
      <w:proofErr w:type="spellStart"/>
      <w:r>
        <w:rPr>
          <w:rFonts w:ascii="Times New Roman" w:eastAsia="Times New Roman" w:hAnsi="Times New Roman" w:cs="Times New Roman"/>
          <w:color w:val="000000"/>
          <w:sz w:val="24"/>
          <w:szCs w:val="24"/>
        </w:rPr>
        <w:t>сполук</w:t>
      </w:r>
      <w:proofErr w:type="spellEnd"/>
      <w:r>
        <w:rPr>
          <w:rFonts w:ascii="Times New Roman" w:eastAsia="Times New Roman" w:hAnsi="Times New Roman" w:cs="Times New Roman"/>
          <w:color w:val="000000"/>
          <w:sz w:val="24"/>
          <w:szCs w:val="24"/>
        </w:rPr>
        <w:t xml:space="preserve">, реакційної здатності продуктів, їх хімічної модифікації. Подальше вивчення взаємодії молекул із біологічними мішенями методами молекулярної динаміки та молекулярного </w:t>
      </w:r>
      <w:proofErr w:type="spellStart"/>
      <w:r>
        <w:rPr>
          <w:rFonts w:ascii="Times New Roman" w:eastAsia="Times New Roman" w:hAnsi="Times New Roman" w:cs="Times New Roman"/>
          <w:color w:val="000000"/>
          <w:sz w:val="24"/>
          <w:szCs w:val="24"/>
        </w:rPr>
        <w:t>докінгу</w:t>
      </w:r>
      <w:proofErr w:type="spellEnd"/>
      <w:r>
        <w:rPr>
          <w:rFonts w:ascii="Times New Roman" w:eastAsia="Times New Roman" w:hAnsi="Times New Roman" w:cs="Times New Roman"/>
          <w:color w:val="000000"/>
          <w:sz w:val="24"/>
          <w:szCs w:val="24"/>
        </w:rPr>
        <w:t xml:space="preserve"> дозволить виділити молекули-лідери, перспективні з точки зору медичної та агрохімії для їх подальшої розробки як кандидатів на лікарські засоби.</w:t>
      </w:r>
    </w:p>
    <w:p w:rsidR="00060B24" w:rsidRDefault="00060B24">
      <w:pPr>
        <w:spacing w:line="240" w:lineRule="auto"/>
        <w:jc w:val="both"/>
        <w:rPr>
          <w:rFonts w:ascii="Times New Roman" w:eastAsia="Times New Roman" w:hAnsi="Times New Roman" w:cs="Times New Roman"/>
          <w:color w:val="000000"/>
          <w:sz w:val="24"/>
          <w:szCs w:val="24"/>
        </w:rPr>
      </w:pP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Опис шляхів та способів подальшого використання результатів виконання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в суспільній практиці (до 1 сторінки).</w:t>
      </w:r>
    </w:p>
    <w:p w:rsidR="00060B24" w:rsidRDefault="00060B24">
      <w:pPr>
        <w:spacing w:line="240" w:lineRule="auto"/>
        <w:jc w:val="both"/>
        <w:rPr>
          <w:rFonts w:ascii="Times New Roman" w:eastAsia="Times New Roman" w:hAnsi="Times New Roman" w:cs="Times New Roman"/>
          <w:b/>
          <w:color w:val="000000"/>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Високопродуктивний обчислювальний кластер буде ресурсом колективного користування. Таке користування забезпечуватиметься через віддалений доступ з мережі Інтернет з використанням стандартних протоколів (</w:t>
      </w:r>
      <w:proofErr w:type="spellStart"/>
      <w:r>
        <w:rPr>
          <w:rFonts w:ascii="Times New Roman" w:eastAsia="Times New Roman" w:hAnsi="Times New Roman" w:cs="Times New Roman"/>
          <w:color w:val="000000"/>
          <w:sz w:val="24"/>
          <w:szCs w:val="24"/>
        </w:rPr>
        <w:t>ssh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https</w:t>
      </w:r>
      <w:proofErr w:type="spellEnd"/>
      <w:r>
        <w:rPr>
          <w:rFonts w:ascii="Times New Roman" w:eastAsia="Times New Roman" w:hAnsi="Times New Roman" w:cs="Times New Roman"/>
          <w:color w:val="000000"/>
          <w:sz w:val="24"/>
          <w:szCs w:val="24"/>
        </w:rPr>
        <w:t xml:space="preserve">, тощо), за допомогою веб-браузера для реєстрації (http://cluster.univ.kiev.ua/), клієнта </w:t>
      </w:r>
      <w:proofErr w:type="spellStart"/>
      <w:r>
        <w:rPr>
          <w:rFonts w:ascii="Times New Roman" w:eastAsia="Times New Roman" w:hAnsi="Times New Roman" w:cs="Times New Roman"/>
          <w:color w:val="000000"/>
          <w:sz w:val="24"/>
          <w:szCs w:val="24"/>
        </w:rPr>
        <w:t>ssh</w:t>
      </w:r>
      <w:proofErr w:type="spellEnd"/>
      <w:r>
        <w:rPr>
          <w:rFonts w:ascii="Times New Roman" w:eastAsia="Times New Roman" w:hAnsi="Times New Roman" w:cs="Times New Roman"/>
          <w:color w:val="000000"/>
          <w:sz w:val="24"/>
          <w:szCs w:val="24"/>
        </w:rPr>
        <w:t xml:space="preserve"> для роботи (plus.hpc.knu.ua). Також кластер буде доступний для використання засобами </w:t>
      </w:r>
      <w:proofErr w:type="spellStart"/>
      <w:r>
        <w:rPr>
          <w:rFonts w:ascii="Times New Roman" w:eastAsia="Times New Roman" w:hAnsi="Times New Roman" w:cs="Times New Roman"/>
          <w:color w:val="000000"/>
          <w:sz w:val="24"/>
          <w:szCs w:val="24"/>
        </w:rPr>
        <w:t>Грід</w:t>
      </w:r>
      <w:proofErr w:type="spellEnd"/>
      <w:r>
        <w:rPr>
          <w:rFonts w:ascii="Times New Roman" w:eastAsia="Times New Roman" w:hAnsi="Times New Roman" w:cs="Times New Roman"/>
          <w:color w:val="000000"/>
          <w:sz w:val="24"/>
          <w:szCs w:val="24"/>
        </w:rPr>
        <w:t xml:space="preserve"> (http://testbed.univ.kiev.ua/, https://voms.grid.org.ua/, http://grid.org.ua/test). Робоча група кластера отримуватиме і виконуватиме заявки на реєстрацію користувачів кластера на основі цієї процедури. Для забезпечення справедливого розподілу ресурсів між </w:t>
      </w:r>
      <w:proofErr w:type="spellStart"/>
      <w:r>
        <w:rPr>
          <w:rFonts w:ascii="Times New Roman" w:eastAsia="Times New Roman" w:hAnsi="Times New Roman" w:cs="Times New Roman"/>
          <w:color w:val="000000"/>
          <w:sz w:val="24"/>
          <w:szCs w:val="24"/>
        </w:rPr>
        <w:t>проєктами</w:t>
      </w:r>
      <w:proofErr w:type="spellEnd"/>
      <w:r>
        <w:rPr>
          <w:rFonts w:ascii="Times New Roman" w:eastAsia="Times New Roman" w:hAnsi="Times New Roman" w:cs="Times New Roman"/>
          <w:color w:val="000000"/>
          <w:sz w:val="24"/>
          <w:szCs w:val="24"/>
        </w:rPr>
        <w:t xml:space="preserve"> та користувачами буде розроблена спеціалізована система планування.</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Кластер буде залучений до широкого кола дослідницьких </w:t>
      </w:r>
      <w:proofErr w:type="spellStart"/>
      <w:r>
        <w:rPr>
          <w:rFonts w:ascii="Times New Roman" w:eastAsia="Times New Roman" w:hAnsi="Times New Roman" w:cs="Times New Roman"/>
          <w:color w:val="000000"/>
          <w:sz w:val="24"/>
          <w:szCs w:val="24"/>
        </w:rPr>
        <w:t>проєктів</w:t>
      </w:r>
      <w:proofErr w:type="spellEnd"/>
      <w:r>
        <w:rPr>
          <w:rFonts w:ascii="Times New Roman" w:eastAsia="Times New Roman" w:hAnsi="Times New Roman" w:cs="Times New Roman"/>
          <w:color w:val="000000"/>
          <w:sz w:val="24"/>
          <w:szCs w:val="24"/>
        </w:rPr>
        <w:t xml:space="preserve">, які виконуватимуться як в Україні, так і міжнародними командами дослідників. Успішне виконання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дозволить розвивати та утримувати обчислювальні ресурси власними силами після закінчення робіт за </w:t>
      </w:r>
      <w:proofErr w:type="spellStart"/>
      <w:r>
        <w:rPr>
          <w:rFonts w:ascii="Times New Roman" w:eastAsia="Times New Roman" w:hAnsi="Times New Roman" w:cs="Times New Roman"/>
          <w:color w:val="000000"/>
          <w:sz w:val="24"/>
          <w:szCs w:val="24"/>
        </w:rPr>
        <w:t>проєктом</w:t>
      </w:r>
      <w:proofErr w:type="spellEnd"/>
      <w:r>
        <w:rPr>
          <w:rFonts w:ascii="Times New Roman" w:eastAsia="Times New Roman" w:hAnsi="Times New Roman" w:cs="Times New Roman"/>
          <w:color w:val="000000"/>
          <w:sz w:val="24"/>
          <w:szCs w:val="24"/>
        </w:rPr>
        <w:t xml:space="preserve">, за рахунок участі у спільних </w:t>
      </w:r>
      <w:proofErr w:type="spellStart"/>
      <w:r>
        <w:rPr>
          <w:rFonts w:ascii="Times New Roman" w:eastAsia="Times New Roman" w:hAnsi="Times New Roman" w:cs="Times New Roman"/>
          <w:color w:val="000000"/>
          <w:sz w:val="24"/>
          <w:szCs w:val="24"/>
        </w:rPr>
        <w:t>проєктах</w:t>
      </w:r>
      <w:proofErr w:type="spellEnd"/>
      <w:r>
        <w:rPr>
          <w:rFonts w:ascii="Times New Roman" w:eastAsia="Times New Roman" w:hAnsi="Times New Roman" w:cs="Times New Roman"/>
          <w:color w:val="000000"/>
          <w:sz w:val="24"/>
          <w:szCs w:val="24"/>
        </w:rPr>
        <w:t>.</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Розширення тематики наукових задач, які можуть бути профінансовані у майбутньому Українськими чи міжнародними </w:t>
      </w:r>
      <w:proofErr w:type="spellStart"/>
      <w:r>
        <w:rPr>
          <w:rFonts w:ascii="Times New Roman" w:eastAsia="Times New Roman" w:hAnsi="Times New Roman" w:cs="Times New Roman"/>
          <w:color w:val="000000"/>
          <w:sz w:val="24"/>
          <w:szCs w:val="24"/>
        </w:rPr>
        <w:t>грантодавчими</w:t>
      </w:r>
      <w:proofErr w:type="spellEnd"/>
      <w:r>
        <w:rPr>
          <w:rFonts w:ascii="Times New Roman" w:eastAsia="Times New Roman" w:hAnsi="Times New Roman" w:cs="Times New Roman"/>
          <w:color w:val="000000"/>
          <w:sz w:val="24"/>
          <w:szCs w:val="24"/>
        </w:rPr>
        <w:t xml:space="preserve"> організаціями, включає, зокрема, наступні пункти.</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 З початку повноцінного функціонування кластеру будуть відновлені розрахунки </w:t>
      </w:r>
      <w:proofErr w:type="spellStart"/>
      <w:r>
        <w:rPr>
          <w:rFonts w:ascii="Times New Roman" w:eastAsia="Times New Roman" w:hAnsi="Times New Roman" w:cs="Times New Roman"/>
          <w:color w:val="000000"/>
          <w:sz w:val="24"/>
          <w:szCs w:val="24"/>
        </w:rPr>
        <w:t>Грід</w:t>
      </w:r>
      <w:proofErr w:type="spellEnd"/>
      <w:r>
        <w:rPr>
          <w:rFonts w:ascii="Times New Roman" w:eastAsia="Times New Roman" w:hAnsi="Times New Roman" w:cs="Times New Roman"/>
          <w:color w:val="000000"/>
          <w:sz w:val="24"/>
          <w:szCs w:val="24"/>
        </w:rPr>
        <w:t xml:space="preserve">-задач у промисловому режимі для участі у спільних </w:t>
      </w:r>
      <w:proofErr w:type="spellStart"/>
      <w:r>
        <w:rPr>
          <w:rFonts w:ascii="Times New Roman" w:eastAsia="Times New Roman" w:hAnsi="Times New Roman" w:cs="Times New Roman"/>
          <w:color w:val="000000"/>
          <w:sz w:val="24"/>
          <w:szCs w:val="24"/>
        </w:rPr>
        <w:t>проєктах</w:t>
      </w:r>
      <w:proofErr w:type="spellEnd"/>
      <w:r>
        <w:rPr>
          <w:rFonts w:ascii="Times New Roman" w:eastAsia="Times New Roman" w:hAnsi="Times New Roman" w:cs="Times New Roman"/>
          <w:color w:val="000000"/>
          <w:sz w:val="24"/>
          <w:szCs w:val="24"/>
        </w:rPr>
        <w:t xml:space="preserve"> з Європейським центром ядерних досліджень та інших.</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 Починаючи з 2 етапу, буде налагоджено застосування кластера у навчальному процесі університету для викладання таких навчальних курсів: Паралельні обчислення, Фізика </w:t>
      </w:r>
      <w:proofErr w:type="spellStart"/>
      <w:r>
        <w:rPr>
          <w:rFonts w:ascii="Times New Roman" w:eastAsia="Times New Roman" w:hAnsi="Times New Roman" w:cs="Times New Roman"/>
          <w:color w:val="000000"/>
          <w:sz w:val="24"/>
          <w:szCs w:val="24"/>
        </w:rPr>
        <w:t>біомолекул</w:t>
      </w:r>
      <w:proofErr w:type="spellEnd"/>
      <w:r>
        <w:rPr>
          <w:rFonts w:ascii="Times New Roman" w:eastAsia="Times New Roman" w:hAnsi="Times New Roman" w:cs="Times New Roman"/>
          <w:color w:val="000000"/>
          <w:sz w:val="24"/>
          <w:szCs w:val="24"/>
        </w:rPr>
        <w:t xml:space="preserve">, Сучасні комп’ютерні технології у медицині, </w:t>
      </w:r>
      <w:proofErr w:type="spellStart"/>
      <w:r>
        <w:rPr>
          <w:rFonts w:ascii="Times New Roman" w:eastAsia="Times New Roman" w:hAnsi="Times New Roman" w:cs="Times New Roman"/>
          <w:color w:val="000000"/>
          <w:sz w:val="24"/>
          <w:szCs w:val="24"/>
        </w:rPr>
        <w:t>Грід</w:t>
      </w:r>
      <w:proofErr w:type="spellEnd"/>
      <w:r>
        <w:rPr>
          <w:rFonts w:ascii="Times New Roman" w:eastAsia="Times New Roman" w:hAnsi="Times New Roman" w:cs="Times New Roman"/>
          <w:color w:val="000000"/>
          <w:sz w:val="24"/>
          <w:szCs w:val="24"/>
        </w:rPr>
        <w:t xml:space="preserve">-системи та технології, Математичні методи обробки діагностичних даних, Комп’ютерна розробка лікарських препаратів, Структурна біологія та моделювання, Структурна </w:t>
      </w:r>
      <w:proofErr w:type="spellStart"/>
      <w:r>
        <w:rPr>
          <w:rFonts w:ascii="Times New Roman" w:eastAsia="Times New Roman" w:hAnsi="Times New Roman" w:cs="Times New Roman"/>
          <w:color w:val="000000"/>
          <w:sz w:val="24"/>
          <w:szCs w:val="24"/>
        </w:rPr>
        <w:t>біоінформатика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Хемоінформатика</w:t>
      </w:r>
      <w:proofErr w:type="spellEnd"/>
      <w:r>
        <w:rPr>
          <w:rFonts w:ascii="Times New Roman" w:eastAsia="Times New Roman" w:hAnsi="Times New Roman" w:cs="Times New Roman"/>
          <w:color w:val="000000"/>
          <w:sz w:val="24"/>
          <w:szCs w:val="24"/>
        </w:rPr>
        <w:t>, Обчислювальна біологія. Частина студентів, як передбачається, будуть здобувати освіту в цих галузях на умовах платного навчання, що також буде непрямим джерелом підтримки кластера.</w:t>
      </w: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В) Виконання високопродуктивних обчислень різними підрозділами університету та інших організацій в рамках спільних </w:t>
      </w:r>
      <w:proofErr w:type="spellStart"/>
      <w:r>
        <w:rPr>
          <w:rFonts w:ascii="Times New Roman" w:eastAsia="Times New Roman" w:hAnsi="Times New Roman" w:cs="Times New Roman"/>
          <w:color w:val="000000"/>
          <w:sz w:val="24"/>
          <w:szCs w:val="24"/>
        </w:rPr>
        <w:t>проєктів</w:t>
      </w:r>
      <w:proofErr w:type="spellEnd"/>
      <w:r>
        <w:rPr>
          <w:rFonts w:ascii="Times New Roman" w:eastAsia="Times New Roman" w:hAnsi="Times New Roman" w:cs="Times New Roman"/>
          <w:color w:val="000000"/>
          <w:sz w:val="24"/>
          <w:szCs w:val="24"/>
        </w:rPr>
        <w:t xml:space="preserve">: Молекулярна динаміка, Квантова хімія, Моделювання взаємодії іонізуючого випромінювання методом Монте-Карло, Нелінійна динаміка і біологічні нейронні мережі, Штучний інтелект, Астрономія, тощо. Виконання таких </w:t>
      </w:r>
      <w:proofErr w:type="spellStart"/>
      <w:r>
        <w:rPr>
          <w:rFonts w:ascii="Times New Roman" w:eastAsia="Times New Roman" w:hAnsi="Times New Roman" w:cs="Times New Roman"/>
          <w:color w:val="000000"/>
          <w:sz w:val="24"/>
          <w:szCs w:val="24"/>
        </w:rPr>
        <w:t>проєктів</w:t>
      </w:r>
      <w:proofErr w:type="spellEnd"/>
      <w:r>
        <w:rPr>
          <w:rFonts w:ascii="Times New Roman" w:eastAsia="Times New Roman" w:hAnsi="Times New Roman" w:cs="Times New Roman"/>
          <w:color w:val="000000"/>
          <w:sz w:val="24"/>
          <w:szCs w:val="24"/>
        </w:rPr>
        <w:t xml:space="preserve"> буде здійснюватися в рамках програм МОН, НФДУ та за рахунок приватних організацій – клієнтів кластера (в Україні), та на умовах фінансування в рамках Європейських (Горизонт Європа) та американських (Національний Інститут здоров’я) </w:t>
      </w:r>
      <w:proofErr w:type="spellStart"/>
      <w:r>
        <w:rPr>
          <w:rFonts w:ascii="Times New Roman" w:eastAsia="Times New Roman" w:hAnsi="Times New Roman" w:cs="Times New Roman"/>
          <w:color w:val="000000"/>
          <w:sz w:val="24"/>
          <w:szCs w:val="24"/>
        </w:rPr>
        <w:t>проєктів</w:t>
      </w:r>
      <w:proofErr w:type="spellEnd"/>
      <w:r>
        <w:rPr>
          <w:rFonts w:ascii="Times New Roman" w:eastAsia="Times New Roman" w:hAnsi="Times New Roman" w:cs="Times New Roman"/>
          <w:color w:val="000000"/>
          <w:sz w:val="24"/>
          <w:szCs w:val="24"/>
        </w:rPr>
        <w:t xml:space="preserve">, участь в конкурсах на згадане фінансування буде здійснюватися на 1, 2, та 3 етапах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Г) Університет вже передбачив використання </w:t>
      </w:r>
      <w:proofErr w:type="spellStart"/>
      <w:r>
        <w:rPr>
          <w:rFonts w:ascii="Times New Roman" w:eastAsia="Times New Roman" w:hAnsi="Times New Roman" w:cs="Times New Roman"/>
          <w:color w:val="000000"/>
          <w:sz w:val="24"/>
          <w:szCs w:val="24"/>
        </w:rPr>
        <w:t>потужностей</w:t>
      </w:r>
      <w:proofErr w:type="spellEnd"/>
      <w:r>
        <w:rPr>
          <w:rFonts w:ascii="Times New Roman" w:eastAsia="Times New Roman" w:hAnsi="Times New Roman" w:cs="Times New Roman"/>
          <w:color w:val="000000"/>
          <w:sz w:val="24"/>
          <w:szCs w:val="24"/>
        </w:rPr>
        <w:t xml:space="preserve"> кластеру, і відповідно його фінансування за кошти ЄС, в межах Європейських цифрових інноваційних </w:t>
      </w:r>
      <w:proofErr w:type="spellStart"/>
      <w:r>
        <w:rPr>
          <w:rFonts w:ascii="Times New Roman" w:eastAsia="Times New Roman" w:hAnsi="Times New Roman" w:cs="Times New Roman"/>
          <w:color w:val="000000"/>
          <w:sz w:val="24"/>
          <w:szCs w:val="24"/>
        </w:rPr>
        <w:t>хабів</w:t>
      </w:r>
      <w:proofErr w:type="spellEnd"/>
      <w:r>
        <w:rPr>
          <w:rFonts w:ascii="Times New Roman" w:eastAsia="Times New Roman" w:hAnsi="Times New Roman" w:cs="Times New Roman"/>
          <w:color w:val="000000"/>
          <w:sz w:val="24"/>
          <w:szCs w:val="24"/>
        </w:rPr>
        <w:t xml:space="preserve"> на 2024-2027 </w:t>
      </w:r>
      <w:proofErr w:type="spellStart"/>
      <w:r>
        <w:rPr>
          <w:rFonts w:ascii="Times New Roman" w:eastAsia="Times New Roman" w:hAnsi="Times New Roman" w:cs="Times New Roman"/>
          <w:color w:val="000000"/>
          <w:sz w:val="24"/>
          <w:szCs w:val="24"/>
        </w:rPr>
        <w:t>рр</w:t>
      </w:r>
      <w:proofErr w:type="spellEnd"/>
      <w:r>
        <w:rPr>
          <w:rFonts w:ascii="Times New Roman" w:eastAsia="Times New Roman" w:hAnsi="Times New Roman" w:cs="Times New Roman"/>
          <w:color w:val="000000"/>
          <w:sz w:val="24"/>
          <w:szCs w:val="24"/>
        </w:rPr>
        <w:t xml:space="preserve"> (31 січня 2024 року Університет став членом консорціуму на створення </w:t>
      </w:r>
      <w:proofErr w:type="spellStart"/>
      <w:r>
        <w:rPr>
          <w:rFonts w:ascii="Times New Roman" w:eastAsia="Times New Roman" w:hAnsi="Times New Roman" w:cs="Times New Roman"/>
          <w:color w:val="000000"/>
          <w:sz w:val="24"/>
          <w:szCs w:val="24"/>
        </w:rPr>
        <w:t>Heath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Tech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Hub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Ukraine</w:t>
      </w:r>
      <w:proofErr w:type="spellEnd"/>
      <w:r>
        <w:rPr>
          <w:rFonts w:ascii="Times New Roman" w:eastAsia="Times New Roman" w:hAnsi="Times New Roman" w:cs="Times New Roman"/>
          <w:color w:val="000000"/>
          <w:sz w:val="24"/>
          <w:szCs w:val="24"/>
        </w:rPr>
        <w:t xml:space="preserve"> мета якого полягає у становленні та розвитку системи сталої та доступної підтримки </w:t>
      </w:r>
      <w:proofErr w:type="spellStart"/>
      <w:r>
        <w:rPr>
          <w:rFonts w:ascii="Times New Roman" w:eastAsia="Times New Roman" w:hAnsi="Times New Roman" w:cs="Times New Roman"/>
          <w:color w:val="000000"/>
          <w:sz w:val="24"/>
          <w:szCs w:val="24"/>
        </w:rPr>
        <w:t>цифровізації</w:t>
      </w:r>
      <w:proofErr w:type="spellEnd"/>
      <w:r>
        <w:rPr>
          <w:rFonts w:ascii="Times New Roman" w:eastAsia="Times New Roman" w:hAnsi="Times New Roman" w:cs="Times New Roman"/>
          <w:color w:val="000000"/>
          <w:sz w:val="24"/>
          <w:szCs w:val="24"/>
        </w:rPr>
        <w:t xml:space="preserve"> та інновацій у сфері охорони здоров’я України загалом та Київської області зокрема).</w:t>
      </w:r>
    </w:p>
    <w:p w:rsidR="00060B24" w:rsidRDefault="00060B24">
      <w:pPr>
        <w:spacing w:line="240" w:lineRule="auto"/>
        <w:ind w:left="2"/>
        <w:jc w:val="both"/>
        <w:rPr>
          <w:rFonts w:ascii="Times New Roman" w:eastAsia="Times New Roman" w:hAnsi="Times New Roman" w:cs="Times New Roman"/>
          <w:b/>
          <w:color w:val="000000"/>
          <w:sz w:val="24"/>
          <w:szCs w:val="24"/>
        </w:rPr>
      </w:pPr>
    </w:p>
    <w:p w:rsidR="00060B24" w:rsidRDefault="009A55F0">
      <w:pPr>
        <w:spacing w:line="240" w:lineRule="auto"/>
        <w:ind w:left="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НАУКОВІ АБО НАУКОВО-ТЕХНІЧНІ РЕЗУЛЬТАТИ, ЯКІ ОЧІКУЄТЬСЯ ОТРИМАТИ У 2024 РОЦІ </w:t>
      </w:r>
      <w:r>
        <w:rPr>
          <w:rFonts w:ascii="Times New Roman" w:eastAsia="Times New Roman" w:hAnsi="Times New Roman" w:cs="Times New Roman"/>
          <w:color w:val="000000"/>
          <w:sz w:val="24"/>
          <w:szCs w:val="24"/>
        </w:rPr>
        <w:t>(до 2 сторінок)</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rPr>
        <w:t>ЕВП</w:t>
      </w:r>
      <w:r>
        <w:rPr>
          <w:rFonts w:ascii="Times New Roman" w:eastAsia="Times New Roman" w:hAnsi="Times New Roman" w:cs="Times New Roman"/>
          <w:sz w:val="24"/>
          <w:szCs w:val="24"/>
        </w:rPr>
        <w:t xml:space="preserve"> № 1 (2024 рік)</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1.1 Розробка моделі спектрометру для спостереження </w:t>
      </w:r>
      <w:proofErr w:type="spellStart"/>
      <w:r>
        <w:rPr>
          <w:rFonts w:ascii="Times New Roman" w:eastAsia="Times New Roman" w:hAnsi="Times New Roman" w:cs="Times New Roman"/>
          <w:sz w:val="24"/>
          <w:szCs w:val="24"/>
        </w:rPr>
        <w:t>динейтрону</w:t>
      </w:r>
      <w:proofErr w:type="spellEnd"/>
      <w:r>
        <w:rPr>
          <w:rFonts w:ascii="Times New Roman" w:eastAsia="Times New Roman" w:hAnsi="Times New Roman" w:cs="Times New Roman"/>
          <w:sz w:val="24"/>
          <w:szCs w:val="24"/>
        </w:rPr>
        <w:t xml:space="preserve"> з використанням кодів GEANT, TALYS, а також налагодження взаємодії розрахунків на базі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скриптів</w:t>
      </w:r>
      <w:proofErr w:type="spellEnd"/>
      <w:r>
        <w:rPr>
          <w:rFonts w:ascii="Times New Roman" w:eastAsia="Times New Roman" w:hAnsi="Times New Roman" w:cs="Times New Roman"/>
          <w:sz w:val="24"/>
          <w:szCs w:val="24"/>
        </w:rPr>
        <w:t xml:space="preserve">. Підготовка програмних кодів для молекулярно-динамічного моделювання процесів теплового транспорту в </w:t>
      </w:r>
      <w:proofErr w:type="spellStart"/>
      <w:r>
        <w:rPr>
          <w:rFonts w:ascii="Times New Roman" w:eastAsia="Times New Roman" w:hAnsi="Times New Roman" w:cs="Times New Roman"/>
          <w:sz w:val="24"/>
          <w:szCs w:val="24"/>
        </w:rPr>
        <w:t>твердотільних</w:t>
      </w:r>
      <w:proofErr w:type="spellEnd"/>
      <w:r>
        <w:rPr>
          <w:rFonts w:ascii="Times New Roman" w:eastAsia="Times New Roman" w:hAnsi="Times New Roman" w:cs="Times New Roman"/>
          <w:sz w:val="24"/>
          <w:szCs w:val="24"/>
        </w:rPr>
        <w:t xml:space="preserve"> структурах, виконання тестових розрахунків коефіцієнта теплопровідності модельних </w:t>
      </w:r>
      <w:proofErr w:type="spellStart"/>
      <w:r>
        <w:rPr>
          <w:rFonts w:ascii="Times New Roman" w:eastAsia="Times New Roman" w:hAnsi="Times New Roman" w:cs="Times New Roman"/>
          <w:sz w:val="24"/>
          <w:szCs w:val="24"/>
        </w:rPr>
        <w:t>наноструктур</w:t>
      </w:r>
      <w:proofErr w:type="spellEnd"/>
      <w:r>
        <w:rPr>
          <w:rFonts w:ascii="Times New Roman" w:eastAsia="Times New Roman" w:hAnsi="Times New Roman" w:cs="Times New Roman"/>
          <w:sz w:val="24"/>
          <w:szCs w:val="24"/>
        </w:rPr>
        <w:t>.</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Отримання даних спостережень віддалено гамма- та нейтринних телескопів, для побудови фізичних моделей прискорення космічних променів та генерування багатоканальних сигналів від астрофізичних джерел (таких як </w:t>
      </w:r>
      <w:proofErr w:type="spellStart"/>
      <w:r>
        <w:rPr>
          <w:rFonts w:ascii="Times New Roman" w:eastAsia="Times New Roman" w:hAnsi="Times New Roman" w:cs="Times New Roman"/>
          <w:sz w:val="24"/>
          <w:szCs w:val="24"/>
        </w:rPr>
        <w:t>Cygnus</w:t>
      </w:r>
      <w:proofErr w:type="spellEnd"/>
      <w:r>
        <w:rPr>
          <w:rFonts w:ascii="Times New Roman" w:eastAsia="Times New Roman" w:hAnsi="Times New Roman" w:cs="Times New Roman"/>
          <w:sz w:val="24"/>
          <w:szCs w:val="24"/>
        </w:rPr>
        <w:t xml:space="preserve"> X та MGRO J1908+06). (КР3)</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2.1 Встановлення та тестування пакетів квантово-хімічних та програм для молекулярної механіки та динаміки, забезпечення віддаленого доступу до них, підготовка вхідних завдань. (КР4)</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Встановлення комерційних пакетів програм та пакетів із безкоштовною ліцензією на комп’ютерний кластер. Підготовка та виконання серії розрахункових тестів. Оцінка продуктивності вузлів кластера та створення оптимального режиму доступу та виділення ресурсів для окремих класів задач із врахуванням умов ліцензій. Проведення тестових розрахунків структур реальних молекул в різних наближеннях. Підготовка вхідних даних для виконання завдань 4.2-4.4.</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3.1 Розроблення методів тонкого налаштування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для виконання низки прикладних задач. (КР5)</w:t>
      </w: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Тонке налаштування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є відносно простішою задачею, аніж побудова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тому виконання цих робіт доцільно планувати на перший етап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За базові </w:t>
      </w:r>
      <w:proofErr w:type="spellStart"/>
      <w:r>
        <w:rPr>
          <w:rFonts w:ascii="Times New Roman" w:eastAsia="Times New Roman" w:hAnsi="Times New Roman" w:cs="Times New Roman"/>
          <w:sz w:val="24"/>
          <w:szCs w:val="24"/>
        </w:rPr>
        <w:t>мовні</w:t>
      </w:r>
      <w:proofErr w:type="spellEnd"/>
      <w:r>
        <w:rPr>
          <w:rFonts w:ascii="Times New Roman" w:eastAsia="Times New Roman" w:hAnsi="Times New Roman" w:cs="Times New Roman"/>
          <w:sz w:val="24"/>
          <w:szCs w:val="24"/>
        </w:rPr>
        <w:t xml:space="preserve"> моделі будуть взяті наявні (BERT, GPT і </w:t>
      </w:r>
      <w:proofErr w:type="spellStart"/>
      <w:r>
        <w:rPr>
          <w:rFonts w:ascii="Times New Roman" w:eastAsia="Times New Roman" w:hAnsi="Times New Roman" w:cs="Times New Roman"/>
          <w:sz w:val="24"/>
          <w:szCs w:val="24"/>
        </w:rPr>
        <w:t>т.п</w:t>
      </w:r>
      <w:proofErr w:type="spellEnd"/>
      <w:r>
        <w:rPr>
          <w:rFonts w:ascii="Times New Roman" w:eastAsia="Times New Roman" w:hAnsi="Times New Roman" w:cs="Times New Roman"/>
          <w:sz w:val="24"/>
          <w:szCs w:val="24"/>
        </w:rPr>
        <w:t>.). Роботи складаються із побудови навчальних наборів даних, відповідних прикладним задачам, навчання моделі та проведення експериментів із замірювання якості роботи моделі. Результатом цього етапу, окрім самих оптимізованих методів налаштування, буде низка прикладних програм обробки текстів, таких як системи класифікації та розпізнавання текстів пропаганди, недостовірних новин (</w:t>
      </w:r>
      <w:proofErr w:type="spellStart"/>
      <w:r>
        <w:rPr>
          <w:rFonts w:ascii="Times New Roman" w:eastAsia="Times New Roman" w:hAnsi="Times New Roman" w:cs="Times New Roman"/>
          <w:sz w:val="24"/>
          <w:szCs w:val="24"/>
        </w:rPr>
        <w:t>fake-news</w:t>
      </w:r>
      <w:proofErr w:type="spellEnd"/>
      <w:r>
        <w:rPr>
          <w:rFonts w:ascii="Times New Roman" w:eastAsia="Times New Roman" w:hAnsi="Times New Roman" w:cs="Times New Roman"/>
          <w:sz w:val="24"/>
          <w:szCs w:val="24"/>
        </w:rPr>
        <w:t xml:space="preserve">) та інші. </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4.1 Запускові та тестові роботи по комплектації комп'ютерного кластеру. Проектування змін до архітектури обчислювального кластера ІОЦ з урахуванням встановлення нових вузлів зберігання даних, вузлів віртуалізації та обчислювальних вузлів. Розробка, тестування та впровадження політик, системного програмного забезпечення та його конфігурації для забезпечення колективного використання нового типу вузлів з графічними прискорювачами. Встановлення та тестування коректної роботи у конкурентному режимі використовуваного у </w:t>
      </w:r>
      <w:proofErr w:type="spellStart"/>
      <w:r>
        <w:rPr>
          <w:rFonts w:ascii="Times New Roman" w:eastAsia="Times New Roman" w:hAnsi="Times New Roman" w:cs="Times New Roman"/>
          <w:sz w:val="24"/>
          <w:szCs w:val="24"/>
        </w:rPr>
        <w:t>проєкті</w:t>
      </w:r>
      <w:proofErr w:type="spellEnd"/>
      <w:r>
        <w:rPr>
          <w:rFonts w:ascii="Times New Roman" w:eastAsia="Times New Roman" w:hAnsi="Times New Roman" w:cs="Times New Roman"/>
          <w:sz w:val="24"/>
          <w:szCs w:val="24"/>
        </w:rPr>
        <w:t xml:space="preserve"> прикладного програмного забезпечення. </w:t>
      </w:r>
      <w:proofErr w:type="spellStart"/>
      <w:r>
        <w:rPr>
          <w:rFonts w:ascii="Times New Roman" w:eastAsia="Times New Roman" w:hAnsi="Times New Roman" w:cs="Times New Roman"/>
          <w:sz w:val="24"/>
          <w:szCs w:val="24"/>
        </w:rPr>
        <w:t>Проєктування</w:t>
      </w:r>
      <w:proofErr w:type="spellEnd"/>
      <w:r>
        <w:rPr>
          <w:rFonts w:ascii="Times New Roman" w:eastAsia="Times New Roman" w:hAnsi="Times New Roman" w:cs="Times New Roman"/>
          <w:sz w:val="24"/>
          <w:szCs w:val="24"/>
        </w:rPr>
        <w:t xml:space="preserve"> та реалізація схеми розміщення обладнання для забезпечення рівномірного навантаження на системи енергоживлення та забезпечення температурного режиму роботи обладнання. (КР1)</w:t>
      </w:r>
    </w:p>
    <w:p w:rsidR="00060B24" w:rsidRDefault="00060B24">
      <w:pPr>
        <w:widowControl w:val="0"/>
        <w:spacing w:line="240" w:lineRule="auto"/>
        <w:jc w:val="both"/>
        <w:rPr>
          <w:rFonts w:ascii="Times New Roman" w:eastAsia="Times New Roman" w:hAnsi="Times New Roman" w:cs="Times New Roman"/>
          <w:sz w:val="24"/>
          <w:szCs w:val="24"/>
        </w:rPr>
      </w:pPr>
    </w:p>
    <w:p w:rsidR="00060B24" w:rsidRDefault="009A55F0">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5.1 Проведення установчої зустрічі з визначення порядку дії, підписання угод про нерозголошення. Проведення зустрічі з Консультативною радою. (КР2)</w:t>
      </w:r>
    </w:p>
    <w:p w:rsidR="00060B24" w:rsidRDefault="00060B24">
      <w:pPr>
        <w:pBdr>
          <w:top w:val="nil"/>
          <w:left w:val="nil"/>
          <w:bottom w:val="nil"/>
          <w:right w:val="nil"/>
          <w:between w:val="nil"/>
        </w:pBdr>
        <w:spacing w:line="240" w:lineRule="auto"/>
        <w:ind w:left="2"/>
        <w:jc w:val="both"/>
        <w:rPr>
          <w:rFonts w:ascii="Times New Roman" w:eastAsia="Times New Roman" w:hAnsi="Times New Roman" w:cs="Times New Roman"/>
          <w:sz w:val="24"/>
          <w:szCs w:val="24"/>
        </w:rPr>
      </w:pPr>
    </w:p>
    <w:p w:rsidR="00060B24" w:rsidRDefault="009A55F0">
      <w:pPr>
        <w:pBdr>
          <w:top w:val="nil"/>
          <w:left w:val="nil"/>
          <w:bottom w:val="nil"/>
          <w:right w:val="nil"/>
          <w:between w:val="nil"/>
        </w:pBdr>
        <w:spacing w:line="240" w:lineRule="auto"/>
        <w:ind w:left="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Індикатори виконання у 2024 році:</w:t>
      </w:r>
    </w:p>
    <w:p w:rsidR="00060B24" w:rsidRDefault="009A55F0">
      <w:pPr>
        <w:pBdr>
          <w:top w:val="nil"/>
          <w:left w:val="nil"/>
          <w:bottom w:val="nil"/>
          <w:right w:val="nil"/>
          <w:between w:val="nil"/>
        </w:pBd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Результати тестування у вигляді звіту. Модель спектрометру для спостереження </w:t>
      </w:r>
      <w:proofErr w:type="spellStart"/>
      <w:r>
        <w:rPr>
          <w:rFonts w:ascii="Times New Roman" w:eastAsia="Times New Roman" w:hAnsi="Times New Roman" w:cs="Times New Roman"/>
          <w:sz w:val="24"/>
          <w:szCs w:val="24"/>
        </w:rPr>
        <w:t>динейтрону</w:t>
      </w:r>
      <w:proofErr w:type="spellEnd"/>
      <w:r>
        <w:rPr>
          <w:rFonts w:ascii="Times New Roman" w:eastAsia="Times New Roman" w:hAnsi="Times New Roman" w:cs="Times New Roman"/>
          <w:sz w:val="24"/>
          <w:szCs w:val="24"/>
        </w:rPr>
        <w:t xml:space="preserve"> з використанням кодів GEANT, TALYS. Дані спостережень віддалено гамма- та нейтринних телескопів. Звітна документація (Звіт про проміжні результати реалізації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висновок Консультативної ради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w:t>
      </w:r>
    </w:p>
    <w:p w:rsidR="00060B24" w:rsidRDefault="009A55F0">
      <w:pPr>
        <w:pBdr>
          <w:top w:val="nil"/>
          <w:left w:val="nil"/>
          <w:bottom w:val="nil"/>
          <w:right w:val="nil"/>
          <w:between w:val="nil"/>
        </w:pBd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Встановлені та протестовані пакети квантово-хімічних та програм для молекулярної механіки та динаміки. Встановлені комерційні пакети програм та пакетів із безкоштовною ліцензією на комп’ютерний кластер. Результати тестових розрахунків структур реальних молекул в різних наближеннях.</w:t>
      </w:r>
    </w:p>
    <w:p w:rsidR="00060B24" w:rsidRDefault="009A55F0">
      <w:pPr>
        <w:pBdr>
          <w:top w:val="nil"/>
          <w:left w:val="nil"/>
          <w:bottom w:val="nil"/>
          <w:right w:val="nil"/>
          <w:between w:val="nil"/>
        </w:pBd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Методи тонкого налаштування великих </w:t>
      </w:r>
      <w:proofErr w:type="spellStart"/>
      <w:r>
        <w:rPr>
          <w:rFonts w:ascii="Times New Roman" w:eastAsia="Times New Roman" w:hAnsi="Times New Roman" w:cs="Times New Roman"/>
          <w:sz w:val="24"/>
          <w:szCs w:val="24"/>
        </w:rPr>
        <w:t>мовних</w:t>
      </w:r>
      <w:proofErr w:type="spellEnd"/>
      <w:r>
        <w:rPr>
          <w:rFonts w:ascii="Times New Roman" w:eastAsia="Times New Roman" w:hAnsi="Times New Roman" w:cs="Times New Roman"/>
          <w:sz w:val="24"/>
          <w:szCs w:val="24"/>
        </w:rPr>
        <w:t xml:space="preserve"> моделей для виконання низки прикладних задач. Прикладні програми, результати тестування.</w:t>
      </w:r>
    </w:p>
    <w:p w:rsidR="00060B24" w:rsidRDefault="009A55F0">
      <w:pPr>
        <w:pBdr>
          <w:top w:val="nil"/>
          <w:left w:val="nil"/>
          <w:bottom w:val="nil"/>
          <w:right w:val="nil"/>
          <w:between w:val="nil"/>
        </w:pBd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Проєкт</w:t>
      </w:r>
      <w:proofErr w:type="spellEnd"/>
      <w:r>
        <w:rPr>
          <w:rFonts w:ascii="Times New Roman" w:eastAsia="Times New Roman" w:hAnsi="Times New Roman" w:cs="Times New Roman"/>
          <w:sz w:val="24"/>
          <w:szCs w:val="24"/>
        </w:rPr>
        <w:t xml:space="preserve"> змін до архітектури обчислювального кластера ІОЦ з урахуванням встановлення нових вузлів зберігання даних, вузлів віртуалізації та обчислювальних вузлів. </w:t>
      </w:r>
      <w:proofErr w:type="spellStart"/>
      <w:r>
        <w:rPr>
          <w:rFonts w:ascii="Times New Roman" w:eastAsia="Times New Roman" w:hAnsi="Times New Roman" w:cs="Times New Roman"/>
          <w:sz w:val="24"/>
          <w:szCs w:val="24"/>
        </w:rPr>
        <w:t>Спроєктовані</w:t>
      </w:r>
      <w:proofErr w:type="spellEnd"/>
      <w:r>
        <w:rPr>
          <w:rFonts w:ascii="Times New Roman" w:eastAsia="Times New Roman" w:hAnsi="Times New Roman" w:cs="Times New Roman"/>
          <w:sz w:val="24"/>
          <w:szCs w:val="24"/>
        </w:rPr>
        <w:t xml:space="preserve"> та реалізовані схеми розміщення обладнання для забезпечення рівномірного навантаження на системи енергоживлення та забезпечення температурного режиму роботи обладнання.</w:t>
      </w:r>
    </w:p>
    <w:p w:rsidR="00060B24" w:rsidRDefault="009A55F0">
      <w:pPr>
        <w:pBdr>
          <w:top w:val="nil"/>
          <w:left w:val="nil"/>
          <w:bottom w:val="nil"/>
          <w:right w:val="nil"/>
          <w:between w:val="nil"/>
        </w:pBd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Проведення установчої зустрічі з визначення порядку дії, підписання угод про нерозголошення.</w:t>
      </w:r>
    </w:p>
    <w:p w:rsidR="00060B24" w:rsidRDefault="00060B24">
      <w:pPr>
        <w:spacing w:line="240" w:lineRule="auto"/>
        <w:rPr>
          <w:rFonts w:ascii="Times New Roman" w:eastAsia="Times New Roman" w:hAnsi="Times New Roman" w:cs="Times New Roman"/>
          <w:sz w:val="24"/>
          <w:szCs w:val="24"/>
        </w:rPr>
      </w:pPr>
    </w:p>
    <w:p w:rsidR="00060B24" w:rsidRDefault="009A55F0">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5.1. </w:t>
      </w:r>
      <w:r>
        <w:rPr>
          <w:rFonts w:ascii="Times New Roman" w:eastAsia="Times New Roman" w:hAnsi="Times New Roman" w:cs="Times New Roman"/>
          <w:b/>
          <w:sz w:val="24"/>
          <w:szCs w:val="24"/>
        </w:rPr>
        <w:t>Заплановані</w:t>
      </w:r>
      <w:r>
        <w:rPr>
          <w:rFonts w:ascii="Times New Roman" w:eastAsia="Times New Roman" w:hAnsi="Times New Roman" w:cs="Times New Roman"/>
          <w:b/>
          <w:color w:val="000000"/>
          <w:sz w:val="24"/>
          <w:szCs w:val="24"/>
        </w:rPr>
        <w:t xml:space="preserve"> науков</w:t>
      </w:r>
      <w:r>
        <w:rPr>
          <w:rFonts w:ascii="Times New Roman" w:eastAsia="Times New Roman" w:hAnsi="Times New Roman" w:cs="Times New Roman"/>
          <w:b/>
          <w:sz w:val="24"/>
          <w:szCs w:val="24"/>
        </w:rPr>
        <w:t>і</w:t>
      </w:r>
      <w:r>
        <w:rPr>
          <w:rFonts w:ascii="Times New Roman" w:eastAsia="Times New Roman" w:hAnsi="Times New Roman" w:cs="Times New Roman"/>
          <w:b/>
          <w:color w:val="000000"/>
          <w:sz w:val="24"/>
          <w:szCs w:val="24"/>
        </w:rPr>
        <w:t xml:space="preserve"> або науково-технічн</w:t>
      </w:r>
      <w:r>
        <w:rPr>
          <w:rFonts w:ascii="Times New Roman" w:eastAsia="Times New Roman" w:hAnsi="Times New Roman" w:cs="Times New Roman"/>
          <w:b/>
          <w:sz w:val="24"/>
          <w:szCs w:val="24"/>
        </w:rPr>
        <w:t>і</w:t>
      </w:r>
      <w:r>
        <w:rPr>
          <w:rFonts w:ascii="Times New Roman" w:eastAsia="Times New Roman" w:hAnsi="Times New Roman" w:cs="Times New Roman"/>
          <w:b/>
          <w:color w:val="000000"/>
          <w:sz w:val="24"/>
          <w:szCs w:val="24"/>
        </w:rPr>
        <w:t xml:space="preserve"> результат</w:t>
      </w:r>
      <w:r>
        <w:rPr>
          <w:rFonts w:ascii="Times New Roman" w:eastAsia="Times New Roman" w:hAnsi="Times New Roman" w:cs="Times New Roman"/>
          <w:b/>
          <w:sz w:val="24"/>
          <w:szCs w:val="24"/>
        </w:rPr>
        <w:t>и</w:t>
      </w:r>
      <w:r>
        <w:rPr>
          <w:rFonts w:ascii="Times New Roman" w:eastAsia="Times New Roman" w:hAnsi="Times New Roman" w:cs="Times New Roman"/>
          <w:b/>
          <w:color w:val="000000"/>
          <w:sz w:val="24"/>
          <w:szCs w:val="24"/>
        </w:rPr>
        <w:t xml:space="preserve">, які очікуються отримати в рамках  проміжного етапу виконання </w:t>
      </w:r>
      <w:proofErr w:type="spellStart"/>
      <w:r>
        <w:rPr>
          <w:rFonts w:ascii="Times New Roman" w:eastAsia="Times New Roman" w:hAnsi="Times New Roman" w:cs="Times New Roman"/>
          <w:b/>
          <w:color w:val="000000"/>
          <w:sz w:val="24"/>
          <w:szCs w:val="24"/>
        </w:rPr>
        <w:t>Проєкту</w:t>
      </w:r>
      <w:proofErr w:type="spellEnd"/>
      <w:r>
        <w:rPr>
          <w:rFonts w:ascii="Times New Roman" w:eastAsia="Times New Roman" w:hAnsi="Times New Roman" w:cs="Times New Roman"/>
          <w:b/>
          <w:color w:val="000000"/>
          <w:sz w:val="24"/>
          <w:szCs w:val="24"/>
        </w:rPr>
        <w:t>:</w:t>
      </w:r>
    </w:p>
    <w:p w:rsidR="00060B24" w:rsidRDefault="00060B24">
      <w:pPr>
        <w:spacing w:line="240" w:lineRule="auto"/>
        <w:jc w:val="center"/>
        <w:rPr>
          <w:rFonts w:ascii="Times New Roman" w:eastAsia="Times New Roman" w:hAnsi="Times New Roman" w:cs="Times New Roman"/>
          <w:color w:val="000000"/>
          <w:sz w:val="24"/>
          <w:szCs w:val="24"/>
        </w:rPr>
      </w:pPr>
    </w:p>
    <w:tbl>
      <w:tblPr>
        <w:tblStyle w:val="aff7"/>
        <w:tblW w:w="986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730"/>
        <w:gridCol w:w="7487"/>
        <w:gridCol w:w="1649"/>
      </w:tblGrid>
      <w:tr w:rsidR="00060B24">
        <w:trPr>
          <w:trHeight w:val="1665"/>
        </w:trPr>
        <w:tc>
          <w:tcPr>
            <w:tcW w:w="7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rsidR="00060B24" w:rsidRDefault="009A55F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з/п</w:t>
            </w:r>
          </w:p>
        </w:tc>
        <w:tc>
          <w:tcPr>
            <w:tcW w:w="7487"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060B24" w:rsidRDefault="009A55F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Індикатори виконання </w:t>
            </w:r>
          </w:p>
        </w:tc>
        <w:tc>
          <w:tcPr>
            <w:tcW w:w="1649"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rsidR="00060B24" w:rsidRDefault="009A55F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Заплановано</w:t>
            </w:r>
            <w:r>
              <w:rPr>
                <w:rFonts w:ascii="Times New Roman" w:eastAsia="Times New Roman" w:hAnsi="Times New Roman" w:cs="Times New Roman"/>
                <w:b/>
                <w:color w:val="000000"/>
                <w:sz w:val="24"/>
                <w:szCs w:val="24"/>
              </w:rPr>
              <w:br/>
              <w:t xml:space="preserve"> (відповідно до КП),</w:t>
            </w:r>
          </w:p>
          <w:p w:rsidR="00060B24" w:rsidRDefault="009A55F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кількість</w:t>
            </w:r>
          </w:p>
        </w:tc>
      </w:tr>
      <w:tr w:rsidR="00060B24">
        <w:trPr>
          <w:trHeight w:val="240"/>
        </w:trPr>
        <w:tc>
          <w:tcPr>
            <w:tcW w:w="7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7487" w:type="dxa"/>
            <w:tcBorders>
              <w:top w:val="nil"/>
              <w:left w:val="nil"/>
              <w:bottom w:val="single" w:sz="4" w:space="0" w:color="000000"/>
              <w:right w:val="single" w:sz="4" w:space="0" w:color="000000"/>
            </w:tcBorders>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Публікація результатів:</w:t>
            </w:r>
          </w:p>
        </w:tc>
        <w:tc>
          <w:tcPr>
            <w:tcW w:w="1649" w:type="dxa"/>
            <w:tcBorders>
              <w:top w:val="nil"/>
              <w:left w:val="nil"/>
              <w:bottom w:val="single" w:sz="4" w:space="0" w:color="000000"/>
              <w:right w:val="single" w:sz="4" w:space="0" w:color="000000"/>
            </w:tcBorders>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vMerge w:val="restart"/>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7487" w:type="dxa"/>
            <w:tcBorders>
              <w:top w:val="nil"/>
              <w:left w:val="nil"/>
              <w:bottom w:val="single" w:sz="4" w:space="0" w:color="000000"/>
              <w:right w:val="single" w:sz="4" w:space="0" w:color="000000"/>
            </w:tcBorders>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Статті у журналах, що індексуються </w:t>
            </w:r>
            <w:proofErr w:type="spellStart"/>
            <w:r>
              <w:rPr>
                <w:rFonts w:ascii="Times New Roman" w:eastAsia="Times New Roman" w:hAnsi="Times New Roman" w:cs="Times New Roman"/>
                <w:color w:val="000000"/>
                <w:sz w:val="24"/>
                <w:szCs w:val="24"/>
              </w:rPr>
              <w:t>наукометричними</w:t>
            </w:r>
            <w:proofErr w:type="spellEnd"/>
            <w:r>
              <w:rPr>
                <w:rFonts w:ascii="Times New Roman" w:eastAsia="Times New Roman" w:hAnsi="Times New Roman" w:cs="Times New Roman"/>
                <w:color w:val="000000"/>
                <w:sz w:val="24"/>
                <w:szCs w:val="24"/>
              </w:rPr>
              <w:t xml:space="preserve"> базами даних:</w:t>
            </w:r>
          </w:p>
        </w:tc>
        <w:tc>
          <w:tcPr>
            <w:tcW w:w="1649" w:type="dxa"/>
            <w:tcBorders>
              <w:top w:val="nil"/>
              <w:left w:val="nil"/>
              <w:bottom w:val="single" w:sz="4" w:space="0" w:color="000000"/>
              <w:right w:val="single" w:sz="4" w:space="0" w:color="000000"/>
            </w:tcBorders>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645"/>
        </w:trPr>
        <w:tc>
          <w:tcPr>
            <w:tcW w:w="730" w:type="dxa"/>
            <w:vMerge/>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Scopus</w:t>
            </w:r>
            <w:proofErr w:type="spellEnd"/>
            <w:r>
              <w:rPr>
                <w:rFonts w:ascii="Times New Roman" w:eastAsia="Times New Roman" w:hAnsi="Times New Roman" w:cs="Times New Roman"/>
                <w:color w:val="000000"/>
                <w:sz w:val="24"/>
                <w:szCs w:val="24"/>
              </w:rPr>
              <w:t xml:space="preserve"> та/або </w:t>
            </w:r>
            <w:proofErr w:type="spellStart"/>
            <w:r>
              <w:rPr>
                <w:rFonts w:ascii="Times New Roman" w:eastAsia="Times New Roman" w:hAnsi="Times New Roman" w:cs="Times New Roman"/>
                <w:color w:val="000000"/>
                <w:sz w:val="24"/>
                <w:szCs w:val="24"/>
              </w:rPr>
              <w:t>Web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Science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Collection</w:t>
            </w:r>
            <w:proofErr w:type="spellEnd"/>
            <w:r>
              <w:rPr>
                <w:rFonts w:ascii="Times New Roman" w:eastAsia="Times New Roman" w:hAnsi="Times New Roman" w:cs="Times New Roman"/>
                <w:color w:val="000000"/>
                <w:sz w:val="24"/>
                <w:szCs w:val="24"/>
              </w:rPr>
              <w:t>, всього,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060B24">
        <w:trPr>
          <w:trHeight w:val="389"/>
        </w:trPr>
        <w:tc>
          <w:tcPr>
            <w:tcW w:w="730" w:type="dxa"/>
            <w:vMerge/>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з них із </w:t>
            </w:r>
            <w:proofErr w:type="spellStart"/>
            <w:r>
              <w:rPr>
                <w:rFonts w:ascii="Times New Roman" w:eastAsia="Times New Roman" w:hAnsi="Times New Roman" w:cs="Times New Roman"/>
                <w:color w:val="000000"/>
                <w:sz w:val="24"/>
                <w:szCs w:val="24"/>
              </w:rPr>
              <w:t>квартилем</w:t>
            </w:r>
            <w:proofErr w:type="spellEnd"/>
            <w:r>
              <w:rPr>
                <w:rFonts w:ascii="Times New Roman" w:eastAsia="Times New Roman" w:hAnsi="Times New Roman" w:cs="Times New Roman"/>
                <w:color w:val="000000"/>
                <w:sz w:val="24"/>
                <w:szCs w:val="24"/>
              </w:rPr>
              <w:t xml:space="preserve"> Q1 i Q2 на момент опублікування,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vMerge/>
            <w:tcBorders>
              <w:top w:val="nil"/>
              <w:left w:val="single" w:sz="4" w:space="0" w:color="000000"/>
              <w:bottom w:val="single" w:sz="4" w:space="0" w:color="000000"/>
              <w:right w:val="single" w:sz="4" w:space="0" w:color="000000"/>
            </w:tcBorders>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з них із </w:t>
            </w:r>
            <w:proofErr w:type="spellStart"/>
            <w:r>
              <w:rPr>
                <w:rFonts w:ascii="Times New Roman" w:eastAsia="Times New Roman" w:hAnsi="Times New Roman" w:cs="Times New Roman"/>
                <w:color w:val="000000"/>
                <w:sz w:val="24"/>
                <w:szCs w:val="24"/>
              </w:rPr>
              <w:t>квартилем</w:t>
            </w:r>
            <w:proofErr w:type="spellEnd"/>
            <w:r>
              <w:rPr>
                <w:rFonts w:ascii="Times New Roman" w:eastAsia="Times New Roman" w:hAnsi="Times New Roman" w:cs="Times New Roman"/>
                <w:color w:val="000000"/>
                <w:sz w:val="24"/>
                <w:szCs w:val="24"/>
              </w:rPr>
              <w:t xml:space="preserve"> Q3 i Q4 на момент опублікування,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96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Статті у наукових журналах (без </w:t>
            </w:r>
            <w:proofErr w:type="spellStart"/>
            <w:r>
              <w:rPr>
                <w:rFonts w:ascii="Times New Roman" w:eastAsia="Times New Roman" w:hAnsi="Times New Roman" w:cs="Times New Roman"/>
                <w:color w:val="000000"/>
                <w:sz w:val="24"/>
                <w:szCs w:val="24"/>
              </w:rPr>
              <w:t>квартилю</w:t>
            </w:r>
            <w:proofErr w:type="spellEnd"/>
            <w:r>
              <w:rPr>
                <w:rFonts w:ascii="Times New Roman" w:eastAsia="Times New Roman" w:hAnsi="Times New Roman" w:cs="Times New Roman"/>
                <w:color w:val="000000"/>
                <w:sz w:val="24"/>
                <w:szCs w:val="24"/>
              </w:rPr>
              <w:t xml:space="preserve">), збірниках наукових праць, матеріалах конференцій тощо, що індексуються </w:t>
            </w:r>
            <w:proofErr w:type="spellStart"/>
            <w:r>
              <w:rPr>
                <w:rFonts w:ascii="Times New Roman" w:eastAsia="Times New Roman" w:hAnsi="Times New Roman" w:cs="Times New Roman"/>
                <w:color w:val="000000"/>
                <w:sz w:val="24"/>
                <w:szCs w:val="24"/>
              </w:rPr>
              <w:t>наукометричними</w:t>
            </w:r>
            <w:proofErr w:type="spellEnd"/>
            <w:r>
              <w:rPr>
                <w:rFonts w:ascii="Times New Roman" w:eastAsia="Times New Roman" w:hAnsi="Times New Roman" w:cs="Times New Roman"/>
                <w:color w:val="000000"/>
                <w:sz w:val="24"/>
                <w:szCs w:val="24"/>
              </w:rPr>
              <w:t xml:space="preserve"> базами даних </w:t>
            </w:r>
            <w:proofErr w:type="spellStart"/>
            <w:r>
              <w:rPr>
                <w:rFonts w:ascii="Times New Roman" w:eastAsia="Times New Roman" w:hAnsi="Times New Roman" w:cs="Times New Roman"/>
                <w:color w:val="000000"/>
                <w:sz w:val="24"/>
                <w:szCs w:val="24"/>
              </w:rPr>
              <w:t>Scopus</w:t>
            </w:r>
            <w:proofErr w:type="spellEnd"/>
            <w:r>
              <w:rPr>
                <w:rFonts w:ascii="Times New Roman" w:eastAsia="Times New Roman" w:hAnsi="Times New Roman" w:cs="Times New Roman"/>
                <w:color w:val="000000"/>
                <w:sz w:val="24"/>
                <w:szCs w:val="24"/>
              </w:rPr>
              <w:t xml:space="preserve"> або </w:t>
            </w:r>
            <w:proofErr w:type="spellStart"/>
            <w:r>
              <w:rPr>
                <w:rFonts w:ascii="Times New Roman" w:eastAsia="Times New Roman" w:hAnsi="Times New Roman" w:cs="Times New Roman"/>
                <w:color w:val="000000"/>
                <w:sz w:val="24"/>
                <w:szCs w:val="24"/>
              </w:rPr>
              <w:t>Web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Science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Collection</w:t>
            </w:r>
            <w:proofErr w:type="spellEnd"/>
            <w:r>
              <w:rPr>
                <w:rFonts w:ascii="Times New Roman" w:eastAsia="Times New Roman" w:hAnsi="Times New Roman" w:cs="Times New Roman"/>
                <w:color w:val="000000"/>
                <w:sz w:val="24"/>
                <w:szCs w:val="24"/>
              </w:rPr>
              <w:t xml:space="preserve">  (крім тих, що увійшли до п.1.1)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Статті у фахових виданнях України категорії «Б»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Статті у періодичних  виданнях інших країн, що мають ІSSN,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96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Публікації у матеріалах конференцій, тезах доповідей та виданнях, що не включені до переліку наукових фахових видань України та не індексуються </w:t>
            </w:r>
            <w:proofErr w:type="spellStart"/>
            <w:r>
              <w:rPr>
                <w:rFonts w:ascii="Times New Roman" w:eastAsia="Times New Roman" w:hAnsi="Times New Roman" w:cs="Times New Roman"/>
                <w:color w:val="000000"/>
                <w:sz w:val="24"/>
                <w:szCs w:val="24"/>
              </w:rPr>
              <w:t>наукометричними</w:t>
            </w:r>
            <w:proofErr w:type="spellEnd"/>
            <w:r>
              <w:rPr>
                <w:rFonts w:ascii="Times New Roman" w:eastAsia="Times New Roman" w:hAnsi="Times New Roman" w:cs="Times New Roman"/>
                <w:color w:val="000000"/>
                <w:sz w:val="24"/>
                <w:szCs w:val="24"/>
              </w:rPr>
              <w:t xml:space="preserve"> базами даних </w:t>
            </w:r>
            <w:proofErr w:type="spellStart"/>
            <w:r>
              <w:rPr>
                <w:rFonts w:ascii="Times New Roman" w:eastAsia="Times New Roman" w:hAnsi="Times New Roman" w:cs="Times New Roman"/>
                <w:color w:val="000000"/>
                <w:sz w:val="24"/>
                <w:szCs w:val="24"/>
              </w:rPr>
              <w:t>Scopus</w:t>
            </w:r>
            <w:proofErr w:type="spellEnd"/>
            <w:r>
              <w:rPr>
                <w:rFonts w:ascii="Times New Roman" w:eastAsia="Times New Roman" w:hAnsi="Times New Roman" w:cs="Times New Roman"/>
                <w:color w:val="000000"/>
                <w:sz w:val="24"/>
                <w:szCs w:val="24"/>
              </w:rPr>
              <w:t xml:space="preserve"> або </w:t>
            </w:r>
            <w:proofErr w:type="spellStart"/>
            <w:r>
              <w:rPr>
                <w:rFonts w:ascii="Times New Roman" w:eastAsia="Times New Roman" w:hAnsi="Times New Roman" w:cs="Times New Roman"/>
                <w:color w:val="000000"/>
                <w:sz w:val="24"/>
                <w:szCs w:val="24"/>
              </w:rPr>
              <w:t>Web</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Science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Core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Collection</w:t>
            </w:r>
            <w:proofErr w:type="spellEnd"/>
            <w:r>
              <w:rPr>
                <w:rFonts w:ascii="Times New Roman" w:eastAsia="Times New Roman" w:hAnsi="Times New Roman" w:cs="Times New Roman"/>
                <w:color w:val="000000"/>
                <w:sz w:val="24"/>
                <w:szCs w:val="24"/>
              </w:rPr>
              <w:t>,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72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Монографії та розділи монографій, опубліковані (або підготовлені і подані до друку)  у закордонних видавництвах іноземними мовами,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Монографії та розділи монографій, опубліковані (або підготовлені і подані до друку) в українських видавництвах,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72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Монографії та розділи монографій, опубліковані (або підготовлені і подані до друку) з обмеженим доступом  (для </w:t>
            </w:r>
            <w:proofErr w:type="spellStart"/>
            <w:r>
              <w:rPr>
                <w:rFonts w:ascii="Times New Roman" w:eastAsia="Times New Roman" w:hAnsi="Times New Roman" w:cs="Times New Roman"/>
                <w:color w:val="000000"/>
                <w:sz w:val="24"/>
                <w:szCs w:val="24"/>
              </w:rPr>
              <w:t>проєктів</w:t>
            </w:r>
            <w:proofErr w:type="spellEnd"/>
            <w:r>
              <w:rPr>
                <w:rFonts w:ascii="Times New Roman" w:eastAsia="Times New Roman" w:hAnsi="Times New Roman" w:cs="Times New Roman"/>
                <w:color w:val="000000"/>
                <w:sz w:val="24"/>
                <w:szCs w:val="24"/>
              </w:rPr>
              <w:t xml:space="preserve"> оборонного та/або подвійного призначення)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Словники, довідники, енциклопедії, видані українськими та/або закордонними видавництвами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Інші публікації, які не описані у </w:t>
            </w:r>
            <w:proofErr w:type="spellStart"/>
            <w:r>
              <w:rPr>
                <w:rFonts w:ascii="Times New Roman" w:eastAsia="Times New Roman" w:hAnsi="Times New Roman" w:cs="Times New Roman"/>
                <w:color w:val="000000"/>
                <w:sz w:val="24"/>
                <w:szCs w:val="24"/>
              </w:rPr>
              <w:t>пп</w:t>
            </w:r>
            <w:proofErr w:type="spellEnd"/>
            <w:r>
              <w:rPr>
                <w:rFonts w:ascii="Times New Roman" w:eastAsia="Times New Roman" w:hAnsi="Times New Roman" w:cs="Times New Roman"/>
                <w:color w:val="000000"/>
                <w:sz w:val="24"/>
                <w:szCs w:val="24"/>
              </w:rPr>
              <w:t>. 1.1-1.10,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Презентація та дисемінація результатів:</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Міжнародні науково-комунікативні заходи, конференції,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Pr="004609C6" w:rsidRDefault="004609C6">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sz w:val="24"/>
                <w:szCs w:val="24"/>
                <w:lang w:val="en-US"/>
              </w:rPr>
              <w:t>1</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Всеукраїнські та регіональні науково-технічні/промислові виставкові заходи,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vMerge w:val="restart"/>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Представлення розробки/бізнес-плану/результатів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на:</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vMerge/>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інноваційних фестивалях,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vMerge/>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конкурсах </w:t>
            </w:r>
            <w:proofErr w:type="spellStart"/>
            <w:r>
              <w:rPr>
                <w:rFonts w:ascii="Times New Roman" w:eastAsia="Times New Roman" w:hAnsi="Times New Roman" w:cs="Times New Roman"/>
                <w:color w:val="000000"/>
                <w:sz w:val="24"/>
                <w:szCs w:val="24"/>
              </w:rPr>
              <w:t>стартапів</w:t>
            </w:r>
            <w:proofErr w:type="spellEnd"/>
            <w:r>
              <w:rPr>
                <w:rFonts w:ascii="Times New Roman" w:eastAsia="Times New Roman" w:hAnsi="Times New Roman" w:cs="Times New Roman"/>
                <w:color w:val="000000"/>
                <w:sz w:val="24"/>
                <w:szCs w:val="24"/>
              </w:rPr>
              <w:t>,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vMerge/>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акселераційних</w:t>
            </w:r>
            <w:proofErr w:type="spellEnd"/>
            <w:r>
              <w:rPr>
                <w:rFonts w:ascii="Times New Roman" w:eastAsia="Times New Roman" w:hAnsi="Times New Roman" w:cs="Times New Roman"/>
                <w:color w:val="000000"/>
                <w:sz w:val="24"/>
                <w:szCs w:val="24"/>
              </w:rPr>
              <w:t xml:space="preserve"> програмах,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vMerge/>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хакатонах</w:t>
            </w:r>
            <w:proofErr w:type="spellEnd"/>
            <w:r>
              <w:rPr>
                <w:rFonts w:ascii="Times New Roman" w:eastAsia="Times New Roman" w:hAnsi="Times New Roman" w:cs="Times New Roman"/>
                <w:color w:val="000000"/>
                <w:sz w:val="24"/>
                <w:szCs w:val="24"/>
              </w:rPr>
              <w:t>,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spacing w:before="240"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Науково-популярні публікації з метою поширення інформації про результати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для загальної (широкої) аудиторії,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Представлення інформації про результати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на науково-</w:t>
            </w:r>
            <w:proofErr w:type="spellStart"/>
            <w:r>
              <w:rPr>
                <w:rFonts w:ascii="Times New Roman" w:eastAsia="Times New Roman" w:hAnsi="Times New Roman" w:cs="Times New Roman"/>
                <w:color w:val="000000"/>
                <w:sz w:val="24"/>
                <w:szCs w:val="24"/>
              </w:rPr>
              <w:t>популяризаційних</w:t>
            </w:r>
            <w:proofErr w:type="spellEnd"/>
            <w:r>
              <w:rPr>
                <w:rFonts w:ascii="Times New Roman" w:eastAsia="Times New Roman" w:hAnsi="Times New Roman" w:cs="Times New Roman"/>
                <w:color w:val="000000"/>
                <w:sz w:val="24"/>
                <w:szCs w:val="24"/>
              </w:rPr>
              <w:t xml:space="preserve"> заходах (Дні науки, Наукові пікніки тощо)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Pr="004609C6" w:rsidRDefault="009A55F0" w:rsidP="004609C6">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r w:rsidR="004609C6">
              <w:rPr>
                <w:rFonts w:ascii="Times New Roman" w:eastAsia="Times New Roman" w:hAnsi="Times New Roman" w:cs="Times New Roman"/>
                <w:color w:val="000000"/>
                <w:sz w:val="24"/>
                <w:szCs w:val="24"/>
                <w:lang w:val="en-US"/>
              </w:rPr>
              <w:t>2</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Інші заходи, які не описані у </w:t>
            </w:r>
            <w:proofErr w:type="spellStart"/>
            <w:r>
              <w:rPr>
                <w:rFonts w:ascii="Times New Roman" w:eastAsia="Times New Roman" w:hAnsi="Times New Roman" w:cs="Times New Roman"/>
                <w:color w:val="000000"/>
                <w:sz w:val="24"/>
                <w:szCs w:val="24"/>
              </w:rPr>
              <w:t>пп</w:t>
            </w:r>
            <w:proofErr w:type="spellEnd"/>
            <w:r>
              <w:rPr>
                <w:rFonts w:ascii="Times New Roman" w:eastAsia="Times New Roman" w:hAnsi="Times New Roman" w:cs="Times New Roman"/>
                <w:color w:val="000000"/>
                <w:sz w:val="24"/>
                <w:szCs w:val="24"/>
              </w:rPr>
              <w:t>. 2.1-2.5,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Охоронні документи на об’єкти права інтелектуальної власності (ОПІВ)</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патентів України на винахід,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Отримано </w:t>
            </w:r>
            <w:proofErr w:type="spellStart"/>
            <w:r>
              <w:rPr>
                <w:rFonts w:ascii="Times New Roman" w:eastAsia="Times New Roman" w:hAnsi="Times New Roman" w:cs="Times New Roman"/>
                <w:color w:val="000000"/>
                <w:sz w:val="24"/>
                <w:szCs w:val="24"/>
              </w:rPr>
              <w:t>свідоцтв</w:t>
            </w:r>
            <w:proofErr w:type="spellEnd"/>
            <w:r>
              <w:rPr>
                <w:rFonts w:ascii="Times New Roman" w:eastAsia="Times New Roman" w:hAnsi="Times New Roman" w:cs="Times New Roman"/>
                <w:color w:val="000000"/>
                <w:sz w:val="24"/>
                <w:szCs w:val="24"/>
              </w:rPr>
              <w:t xml:space="preserve"> України на промисловий зразок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патентів України на корисну модель,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Отримано охоронний документ на ОПІВ інших країн,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Інші ОПІВ, які не описані у </w:t>
            </w:r>
            <w:proofErr w:type="spellStart"/>
            <w:r>
              <w:rPr>
                <w:rFonts w:ascii="Times New Roman" w:eastAsia="Times New Roman" w:hAnsi="Times New Roman" w:cs="Times New Roman"/>
                <w:color w:val="000000"/>
                <w:sz w:val="24"/>
                <w:szCs w:val="24"/>
              </w:rPr>
              <w:t>пп</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.4,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Подано заявок на отримання охоронного документу на ОПІВ України та /або інших країн,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Впровадження та використання наукових або науково-практичних результатів:</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96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Підписання (укладання) договорів (угод) на впровадження (використання) результатів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(окрім індивідуальних), серед них:</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4.1.1</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Господарських договорів/контрактів, од./</w:t>
            </w:r>
            <w:proofErr w:type="spellStart"/>
            <w:r>
              <w:rPr>
                <w:rFonts w:ascii="Times New Roman" w:eastAsia="Times New Roman" w:hAnsi="Times New Roman" w:cs="Times New Roman"/>
                <w:color w:val="000000"/>
                <w:sz w:val="24"/>
                <w:szCs w:val="24"/>
              </w:rPr>
              <w:t>тис.грн</w:t>
            </w:r>
            <w:proofErr w:type="spellEnd"/>
            <w:r>
              <w:rPr>
                <w:rFonts w:ascii="Times New Roman" w:eastAsia="Times New Roman" w:hAnsi="Times New Roman" w:cs="Times New Roman"/>
                <w:color w:val="000000"/>
                <w:sz w:val="24"/>
                <w:szCs w:val="24"/>
              </w:rPr>
              <w:t>.</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4.1.2</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Ліцензійних договорів/договорів на ноу-хау, од./</w:t>
            </w:r>
            <w:proofErr w:type="spellStart"/>
            <w:r>
              <w:rPr>
                <w:rFonts w:ascii="Times New Roman" w:eastAsia="Times New Roman" w:hAnsi="Times New Roman" w:cs="Times New Roman"/>
                <w:color w:val="000000"/>
                <w:sz w:val="24"/>
                <w:szCs w:val="24"/>
              </w:rPr>
              <w:t>тис.грн</w:t>
            </w:r>
            <w:proofErr w:type="spellEnd"/>
            <w:r>
              <w:rPr>
                <w:rFonts w:ascii="Times New Roman" w:eastAsia="Times New Roman" w:hAnsi="Times New Roman" w:cs="Times New Roman"/>
                <w:color w:val="000000"/>
                <w:sz w:val="24"/>
                <w:szCs w:val="24"/>
              </w:rPr>
              <w:t>.</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Грантових угод, од./</w:t>
            </w:r>
            <w:proofErr w:type="spellStart"/>
            <w:r>
              <w:rPr>
                <w:rFonts w:ascii="Times New Roman" w:eastAsia="Times New Roman" w:hAnsi="Times New Roman" w:cs="Times New Roman"/>
                <w:color w:val="000000"/>
                <w:sz w:val="24"/>
                <w:szCs w:val="24"/>
              </w:rPr>
              <w:t>тис.грн</w:t>
            </w:r>
            <w:proofErr w:type="spellEnd"/>
            <w:r>
              <w:rPr>
                <w:rFonts w:ascii="Times New Roman" w:eastAsia="Times New Roman" w:hAnsi="Times New Roman" w:cs="Times New Roman"/>
                <w:color w:val="000000"/>
                <w:sz w:val="24"/>
                <w:szCs w:val="24"/>
              </w:rPr>
              <w:t>.</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Інші договори (угоди), які не описані у </w:t>
            </w:r>
            <w:proofErr w:type="spellStart"/>
            <w:r>
              <w:rPr>
                <w:rFonts w:ascii="Times New Roman" w:eastAsia="Times New Roman" w:hAnsi="Times New Roman" w:cs="Times New Roman"/>
                <w:color w:val="000000"/>
                <w:sz w:val="24"/>
                <w:szCs w:val="24"/>
              </w:rPr>
              <w:t>пп</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.1.1-</w:t>
            </w:r>
            <w:r>
              <w:rPr>
                <w:rFonts w:ascii="Times New Roman" w:eastAsia="Times New Roman" w:hAnsi="Times New Roman" w:cs="Times New Roman"/>
                <w:sz w:val="24"/>
                <w:szCs w:val="24"/>
              </w:rPr>
              <w:t>4</w:t>
            </w:r>
            <w:r>
              <w:rPr>
                <w:rFonts w:ascii="Times New Roman" w:eastAsia="Times New Roman" w:hAnsi="Times New Roman" w:cs="Times New Roman"/>
                <w:color w:val="000000"/>
                <w:sz w:val="24"/>
                <w:szCs w:val="24"/>
              </w:rPr>
              <w:t>.1.3, од./</w:t>
            </w:r>
            <w:proofErr w:type="spellStart"/>
            <w:r>
              <w:rPr>
                <w:rFonts w:ascii="Times New Roman" w:eastAsia="Times New Roman" w:hAnsi="Times New Roman" w:cs="Times New Roman"/>
                <w:color w:val="000000"/>
                <w:sz w:val="24"/>
                <w:szCs w:val="24"/>
              </w:rPr>
              <w:t>тис.грн</w:t>
            </w:r>
            <w:proofErr w:type="spellEnd"/>
            <w:r>
              <w:rPr>
                <w:rFonts w:ascii="Times New Roman" w:eastAsia="Times New Roman" w:hAnsi="Times New Roman" w:cs="Times New Roman"/>
                <w:color w:val="000000"/>
                <w:sz w:val="24"/>
                <w:szCs w:val="24"/>
              </w:rPr>
              <w:t>.</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72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Документально підтверджено використання результатів у практиці органів державної/місцевої влади, суспільних практиках тощо,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96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Проведено маркетингові дослідження, перемовини з потенційними замовниками із підписанням протоколу (меморандуму, угоди) про наміри комерційного впровадження результатів,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4.6</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Подано заявок на державні, міжнародні наукові гранти (окрім індивідуальних)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Створено чи істотно удосконалено/покращено існуючі:</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Пристрої (макет, експериментальний/дослідний зразок) ,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B720D">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bookmarkStart w:id="0" w:name="_GoBack"/>
            <w:bookmarkEnd w:id="0"/>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Матеріали, процеси, технології, технологічні регламенти, цифрові продукти та електронні сервіси,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Pr="004609C6" w:rsidRDefault="009A55F0" w:rsidP="004609C6">
            <w:pPr>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rPr>
              <w:t xml:space="preserve"> </w:t>
            </w:r>
            <w:r w:rsidR="004609C6">
              <w:rPr>
                <w:rFonts w:ascii="Times New Roman" w:eastAsia="Times New Roman" w:hAnsi="Times New Roman" w:cs="Times New Roman"/>
                <w:color w:val="000000"/>
                <w:sz w:val="24"/>
                <w:szCs w:val="24"/>
                <w:lang w:val="en-US"/>
              </w:rPr>
              <w:t>2</w:t>
            </w:r>
          </w:p>
        </w:tc>
      </w:tr>
      <w:tr w:rsidR="00060B24">
        <w:trPr>
          <w:trHeight w:val="48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ТУ, ДСТУ, будівельні норми, зареєстровані </w:t>
            </w:r>
            <w:proofErr w:type="spellStart"/>
            <w:r>
              <w:rPr>
                <w:rFonts w:ascii="Times New Roman" w:eastAsia="Times New Roman" w:hAnsi="Times New Roman" w:cs="Times New Roman"/>
                <w:color w:val="000000"/>
                <w:sz w:val="24"/>
                <w:szCs w:val="24"/>
              </w:rPr>
              <w:t>проєкти</w:t>
            </w:r>
            <w:proofErr w:type="spellEnd"/>
            <w:r>
              <w:rPr>
                <w:rFonts w:ascii="Times New Roman" w:eastAsia="Times New Roman" w:hAnsi="Times New Roman" w:cs="Times New Roman"/>
                <w:color w:val="000000"/>
                <w:sz w:val="24"/>
                <w:szCs w:val="24"/>
              </w:rPr>
              <w:t xml:space="preserve"> законодавчих актів,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Наукові (науково-технічні) послуги,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r w:rsidR="00060B24">
        <w:trPr>
          <w:trHeight w:val="240"/>
        </w:trPr>
        <w:tc>
          <w:tcPr>
            <w:tcW w:w="73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p>
        </w:tc>
        <w:tc>
          <w:tcPr>
            <w:tcW w:w="7487"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Іншу продукцію, яка не описана у </w:t>
            </w:r>
            <w:proofErr w:type="spellStart"/>
            <w:r>
              <w:rPr>
                <w:rFonts w:ascii="Times New Roman" w:eastAsia="Times New Roman" w:hAnsi="Times New Roman" w:cs="Times New Roman"/>
                <w:color w:val="000000"/>
                <w:sz w:val="24"/>
                <w:szCs w:val="24"/>
              </w:rPr>
              <w:t>пп</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5</w:t>
            </w:r>
            <w:r>
              <w:rPr>
                <w:rFonts w:ascii="Times New Roman" w:eastAsia="Times New Roman" w:hAnsi="Times New Roman" w:cs="Times New Roman"/>
                <w:color w:val="000000"/>
                <w:sz w:val="24"/>
                <w:szCs w:val="24"/>
              </w:rPr>
              <w:t>.4, од.</w:t>
            </w:r>
          </w:p>
        </w:tc>
        <w:tc>
          <w:tcPr>
            <w:tcW w:w="1649"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rsidR="00060B24" w:rsidRDefault="009A55F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c>
      </w:tr>
    </w:tbl>
    <w:p w:rsidR="00060B24" w:rsidRDefault="00060B24">
      <w:pPr>
        <w:spacing w:line="240" w:lineRule="auto"/>
        <w:jc w:val="both"/>
        <w:rPr>
          <w:rFonts w:ascii="Times New Roman" w:eastAsia="Times New Roman" w:hAnsi="Times New Roman" w:cs="Times New Roman"/>
          <w:sz w:val="24"/>
          <w:szCs w:val="24"/>
        </w:rPr>
      </w:pPr>
    </w:p>
    <w:p w:rsidR="00060B24" w:rsidRDefault="009A55F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Передбачувана наукова цінність і актуальність отриманих результатів (науково-технічної продукції), їх порівняння з українськими та/або кращими закордонними  аналогами  (до 30 рядків).</w:t>
      </w:r>
    </w:p>
    <w:p w:rsidR="00060B24" w:rsidRDefault="009A55F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Оскільки перший етап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націлений в основному на створенні дослідницької інфраструктури, він передбачає науково-організаційні заходи. Отримання наукових результатів і науково-технічної продукції планується на наступні етапи.</w:t>
      </w:r>
    </w:p>
    <w:p w:rsidR="00060B24" w:rsidRDefault="00060B24">
      <w:pPr>
        <w:spacing w:line="240" w:lineRule="auto"/>
        <w:jc w:val="both"/>
        <w:rPr>
          <w:rFonts w:ascii="Times New Roman" w:eastAsia="Times New Roman" w:hAnsi="Times New Roman" w:cs="Times New Roman"/>
          <w:b/>
          <w:sz w:val="24"/>
          <w:szCs w:val="24"/>
        </w:rPr>
      </w:pPr>
    </w:p>
    <w:p w:rsidR="00060B24" w:rsidRDefault="009A55F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w:t>
      </w:r>
      <w:r>
        <w:rPr>
          <w:rFonts w:ascii="Times New Roman" w:eastAsia="Times New Roman" w:hAnsi="Times New Roman" w:cs="Times New Roman"/>
          <w:b/>
          <w:sz w:val="24"/>
          <w:szCs w:val="24"/>
        </w:rPr>
        <w:t>Опис запланованих робіт зі створення дослідницької інфраструктури на етап (до 20 рядків).</w:t>
      </w:r>
    </w:p>
    <w:p w:rsidR="00060B24" w:rsidRDefault="009A55F0">
      <w:pPr>
        <w:spacing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Для забезпечення роботи нового обчислювального ресурсу на даному етапі організаційно-наукових робіт планується побудувати інфраструктуру енергозабезпечення та віртуалізації, яка буде основою для подальшої побудови високопродуктивного обчислювального ресурсу. Буде придбано і інтегровано у кластер: джерело безперебійного живлення; блок розподілу живлення</w:t>
      </w:r>
      <w:r w:rsidR="004609C6">
        <w:rPr>
          <w:rFonts w:ascii="Times New Roman" w:eastAsia="Times New Roman" w:hAnsi="Times New Roman" w:cs="Times New Roman"/>
          <w:sz w:val="24"/>
          <w:szCs w:val="24"/>
        </w:rPr>
        <w:t xml:space="preserve">; </w:t>
      </w:r>
      <w:r w:rsidR="004609C6">
        <w:rPr>
          <w:rFonts w:ascii="Times New Roman" w:eastAsia="Times New Roman" w:hAnsi="Times New Roman" w:cs="Times New Roman"/>
          <w:sz w:val="24"/>
          <w:szCs w:val="24"/>
          <w:lang w:val="en-US"/>
        </w:rPr>
        <w:t>c</w:t>
      </w:r>
      <w:proofErr w:type="spellStart"/>
      <w:r>
        <w:rPr>
          <w:rFonts w:ascii="Times New Roman" w:eastAsia="Times New Roman" w:hAnsi="Times New Roman" w:cs="Times New Roman"/>
          <w:sz w:val="24"/>
          <w:szCs w:val="24"/>
        </w:rPr>
        <w:t>ервер</w:t>
      </w:r>
      <w:proofErr w:type="spellEnd"/>
      <w:r>
        <w:rPr>
          <w:rFonts w:ascii="Times New Roman" w:eastAsia="Times New Roman" w:hAnsi="Times New Roman" w:cs="Times New Roman"/>
          <w:sz w:val="24"/>
          <w:szCs w:val="24"/>
        </w:rPr>
        <w:t xml:space="preserve"> збереження даних</w:t>
      </w:r>
      <w:r w:rsidR="004609C6" w:rsidRPr="004609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09C6">
        <w:rPr>
          <w:rFonts w:ascii="Times New Roman" w:eastAsia="Times New Roman" w:hAnsi="Times New Roman" w:cs="Times New Roman"/>
          <w:sz w:val="24"/>
          <w:szCs w:val="24"/>
        </w:rPr>
        <w:t>ж</w:t>
      </w:r>
      <w:r>
        <w:rPr>
          <w:rFonts w:ascii="Times New Roman" w:eastAsia="Times New Roman" w:hAnsi="Times New Roman" w:cs="Times New Roman"/>
          <w:sz w:val="24"/>
          <w:szCs w:val="24"/>
        </w:rPr>
        <w:t xml:space="preserve">орсткі диски; 4 мережевих адаптера; </w:t>
      </w:r>
      <w:r w:rsidR="004609C6">
        <w:rPr>
          <w:rFonts w:ascii="Times New Roman" w:eastAsia="Times New Roman" w:hAnsi="Times New Roman" w:cs="Times New Roman"/>
          <w:sz w:val="24"/>
          <w:szCs w:val="24"/>
        </w:rPr>
        <w:t>о</w:t>
      </w:r>
      <w:r>
        <w:rPr>
          <w:rFonts w:ascii="Times New Roman" w:eastAsia="Times New Roman" w:hAnsi="Times New Roman" w:cs="Times New Roman"/>
          <w:sz w:val="24"/>
          <w:szCs w:val="24"/>
        </w:rPr>
        <w:t>бчислювальний сер</w:t>
      </w:r>
      <w:r w:rsidR="004609C6">
        <w:rPr>
          <w:rFonts w:ascii="Times New Roman" w:eastAsia="Times New Roman" w:hAnsi="Times New Roman" w:cs="Times New Roman"/>
          <w:sz w:val="24"/>
          <w:szCs w:val="24"/>
        </w:rPr>
        <w:t>вер</w:t>
      </w:r>
      <w:r w:rsidR="004609C6" w:rsidRPr="004609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мережеві адаптери з підтримкою </w:t>
      </w:r>
      <w:proofErr w:type="spellStart"/>
      <w:r>
        <w:rPr>
          <w:rFonts w:ascii="Times New Roman" w:eastAsia="Times New Roman" w:hAnsi="Times New Roman" w:cs="Times New Roman"/>
          <w:sz w:val="24"/>
          <w:szCs w:val="24"/>
        </w:rPr>
        <w:t>Linux</w:t>
      </w:r>
      <w:proofErr w:type="spellEnd"/>
      <w:r>
        <w:rPr>
          <w:rFonts w:ascii="Times New Roman" w:eastAsia="Times New Roman" w:hAnsi="Times New Roman" w:cs="Times New Roman"/>
          <w:sz w:val="24"/>
          <w:szCs w:val="24"/>
        </w:rPr>
        <w:t>; графічний</w:t>
      </w:r>
      <w:r>
        <w:t xml:space="preserve"> </w:t>
      </w:r>
      <w:r w:rsidR="004609C6">
        <w:rPr>
          <w:rFonts w:ascii="Times New Roman" w:eastAsia="Times New Roman" w:hAnsi="Times New Roman" w:cs="Times New Roman"/>
          <w:sz w:val="24"/>
          <w:szCs w:val="24"/>
        </w:rPr>
        <w:t>акселератор</w:t>
      </w:r>
      <w:r w:rsidR="004609C6">
        <w:rPr>
          <w:rFonts w:ascii="Times New Roman" w:eastAsia="Times New Roman" w:hAnsi="Times New Roman" w:cs="Times New Roman"/>
          <w:sz w:val="24"/>
          <w:szCs w:val="24"/>
          <w:lang w:val="en-US"/>
        </w:rPr>
        <w:t>.</w:t>
      </w:r>
    </w:p>
    <w:p w:rsidR="004609C6" w:rsidRPr="004609C6" w:rsidRDefault="004609C6">
      <w:pPr>
        <w:spacing w:line="240" w:lineRule="auto"/>
        <w:jc w:val="both"/>
        <w:rPr>
          <w:rFonts w:ascii="Times New Roman" w:eastAsia="Times New Roman" w:hAnsi="Times New Roman" w:cs="Times New Roman"/>
          <w:sz w:val="24"/>
          <w:szCs w:val="24"/>
          <w:lang w:val="en-US"/>
        </w:rPr>
      </w:pPr>
    </w:p>
    <w:p w:rsidR="00060B24" w:rsidRDefault="009A55F0">
      <w:pP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5.4. Опис практичної цінності результатів для потреб оборони, безпеки, економіки та/або суспільства України (у разі наявності) (до 30 рядків). </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Після закінчення періоду виконання </w:t>
      </w:r>
      <w:proofErr w:type="spellStart"/>
      <w:r>
        <w:rPr>
          <w:rFonts w:ascii="Times New Roman" w:eastAsia="Times New Roman" w:hAnsi="Times New Roman" w:cs="Times New Roman"/>
          <w:sz w:val="24"/>
          <w:szCs w:val="24"/>
        </w:rPr>
        <w:t>проєкту</w:t>
      </w:r>
      <w:proofErr w:type="spellEnd"/>
      <w:r>
        <w:rPr>
          <w:rFonts w:ascii="Times New Roman" w:eastAsia="Times New Roman" w:hAnsi="Times New Roman" w:cs="Times New Roman"/>
          <w:sz w:val="24"/>
          <w:szCs w:val="24"/>
        </w:rPr>
        <w:t xml:space="preserve"> комп’ютерний кластер буде використовуватися в межах України та їх міжнародними партнерами на умовах спільного доступу за фінансування українськими та міжнародними </w:t>
      </w:r>
      <w:proofErr w:type="spellStart"/>
      <w:r>
        <w:rPr>
          <w:rFonts w:ascii="Times New Roman" w:eastAsia="Times New Roman" w:hAnsi="Times New Roman" w:cs="Times New Roman"/>
          <w:sz w:val="24"/>
          <w:szCs w:val="24"/>
        </w:rPr>
        <w:t>грантодавчими</w:t>
      </w:r>
      <w:proofErr w:type="spellEnd"/>
      <w:r>
        <w:rPr>
          <w:rFonts w:ascii="Times New Roman" w:eastAsia="Times New Roman" w:hAnsi="Times New Roman" w:cs="Times New Roman"/>
          <w:sz w:val="24"/>
          <w:szCs w:val="24"/>
        </w:rPr>
        <w:t xml:space="preserve"> організаціями. Потенційне співробітництво з комерційними установами відбуватиметься в рамках договорів про виконання науково-технічного дослідження. Наявність розрахункового кластера дозволить науковцям не тільки КНУ, а і всієї України використовувати комп’ютерний розрахунок як елемент дослідження в </w:t>
      </w:r>
      <w:r>
        <w:rPr>
          <w:rFonts w:ascii="Times New Roman" w:eastAsia="Times New Roman" w:hAnsi="Times New Roman" w:cs="Times New Roman"/>
          <w:sz w:val="24"/>
          <w:szCs w:val="24"/>
        </w:rPr>
        <w:lastRenderedPageBreak/>
        <w:t xml:space="preserve">складних, комплексних міждисциплінарних </w:t>
      </w:r>
      <w:proofErr w:type="spellStart"/>
      <w:r>
        <w:rPr>
          <w:rFonts w:ascii="Times New Roman" w:eastAsia="Times New Roman" w:hAnsi="Times New Roman" w:cs="Times New Roman"/>
          <w:sz w:val="24"/>
          <w:szCs w:val="24"/>
        </w:rPr>
        <w:t>проєктах</w:t>
      </w:r>
      <w:proofErr w:type="spellEnd"/>
      <w:r>
        <w:rPr>
          <w:rFonts w:ascii="Times New Roman" w:eastAsia="Times New Roman" w:hAnsi="Times New Roman" w:cs="Times New Roman"/>
          <w:sz w:val="24"/>
          <w:szCs w:val="24"/>
        </w:rPr>
        <w:t>. Це значно посилить роль України в міжнародних консорціумах та дозволить брати в них участь у статусі повноцінного партнера. З іншого боку, в комбінації з якісними розрахунками, експериментальні дослідження теж вийдуть на новий рівень розуміння, що значно підвищить як їх ефективність, так і практичну значимість для економіки країни. Крім цього, наявність розрахункового кластера дозволить готувати фахівців міжнародного рівня в Україні без потреби їх виїзду за кордон. У галузі використання штучного інтелекту існує можливість залучення майбутніх споживачів як для створення великих лінгвістичних моделей, так і споживачів окремих розроблених прикладних лінгвістичних систем. Буде можливим також виконання замовлень клієнтів щодо побудови спеціальних прикладних систем «під ключ». Потенційними споживачами таких систем є органи державної влади (МОН), силові відомства (СБУ, ГУР, МО, МВС), високотехнологічні ІТ-компанії, освітні та наукові заклади України.</w:t>
      </w:r>
    </w:p>
    <w:p w:rsidR="00060B24" w:rsidRDefault="009A55F0">
      <w:pPr>
        <w:spacing w:line="240" w:lineRule="auto"/>
        <w:ind w:left="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060B24" w:rsidRDefault="00060B24">
      <w:pPr>
        <w:spacing w:line="240" w:lineRule="auto"/>
        <w:ind w:left="2"/>
        <w:jc w:val="both"/>
        <w:rPr>
          <w:rFonts w:ascii="Times New Roman" w:eastAsia="Times New Roman" w:hAnsi="Times New Roman" w:cs="Times New Roman"/>
          <w:sz w:val="24"/>
          <w:szCs w:val="24"/>
        </w:rPr>
      </w:pPr>
    </w:p>
    <w:p w:rsidR="00060B24" w:rsidRDefault="009A55F0">
      <w:pPr>
        <w:spacing w:line="240" w:lineRule="auto"/>
        <w:ind w:left="2"/>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Технічне завдання до </w:t>
      </w:r>
      <w:proofErr w:type="spellStart"/>
      <w:r>
        <w:rPr>
          <w:rFonts w:ascii="Times New Roman" w:eastAsia="Times New Roman" w:hAnsi="Times New Roman" w:cs="Times New Roman"/>
          <w:color w:val="000000"/>
        </w:rPr>
        <w:t>Проєкту</w:t>
      </w:r>
      <w:proofErr w:type="spellEnd"/>
      <w:r>
        <w:rPr>
          <w:rFonts w:ascii="Times New Roman" w:eastAsia="Times New Roman" w:hAnsi="Times New Roman" w:cs="Times New Roman"/>
          <w:color w:val="000000"/>
        </w:rPr>
        <w:t xml:space="preserve"> із виконання наукових досліджень і розробок не повинно містити відомостей, заборонених до відкритого опублікування.</w:t>
      </w:r>
    </w:p>
    <w:tbl>
      <w:tblPr>
        <w:tblStyle w:val="aff8"/>
        <w:tblW w:w="10070" w:type="dxa"/>
        <w:tblInd w:w="115" w:type="dxa"/>
        <w:tblLayout w:type="fixed"/>
        <w:tblLook w:val="0400" w:firstRow="0" w:lastRow="0" w:firstColumn="0" w:lastColumn="0" w:noHBand="0" w:noVBand="1"/>
      </w:tblPr>
      <w:tblGrid>
        <w:gridCol w:w="5001"/>
        <w:gridCol w:w="5069"/>
      </w:tblGrid>
      <w:tr w:rsidR="00060B24">
        <w:trPr>
          <w:trHeight w:val="2035"/>
        </w:trPr>
        <w:tc>
          <w:tcPr>
            <w:tcW w:w="5001" w:type="dxa"/>
            <w:tcMar>
              <w:top w:w="0" w:type="dxa"/>
              <w:left w:w="115" w:type="dxa"/>
              <w:bottom w:w="0" w:type="dxa"/>
              <w:right w:w="115" w:type="dxa"/>
            </w:tcMar>
          </w:tcPr>
          <w:p w:rsidR="00060B24" w:rsidRDefault="00060B24">
            <w:pPr>
              <w:rPr>
                <w:rFonts w:ascii="Times New Roman" w:eastAsia="Times New Roman" w:hAnsi="Times New Roman" w:cs="Times New Roman"/>
                <w:sz w:val="20"/>
                <w:szCs w:val="20"/>
              </w:rPr>
            </w:pPr>
          </w:p>
          <w:p w:rsidR="00060B24" w:rsidRDefault="009A55F0">
            <w:pPr>
              <w:ind w:left="-18"/>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Науковий керівник </w:t>
            </w:r>
            <w:proofErr w:type="spellStart"/>
            <w:r>
              <w:rPr>
                <w:rFonts w:ascii="Times New Roman" w:eastAsia="Times New Roman" w:hAnsi="Times New Roman" w:cs="Times New Roman"/>
                <w:color w:val="000000"/>
                <w:sz w:val="20"/>
                <w:szCs w:val="20"/>
              </w:rPr>
              <w:t>Проєкту</w:t>
            </w:r>
            <w:proofErr w:type="spellEnd"/>
          </w:p>
          <w:p w:rsidR="00060B24" w:rsidRDefault="009A55F0">
            <w:pPr>
              <w:rPr>
                <w:rFonts w:ascii="Times New Roman" w:eastAsia="Times New Roman" w:hAnsi="Times New Roman" w:cs="Times New Roman"/>
                <w:sz w:val="20"/>
                <w:szCs w:val="20"/>
              </w:rPr>
            </w:pPr>
            <w:r>
              <w:rPr>
                <w:rFonts w:ascii="Times New Roman" w:eastAsia="Times New Roman" w:hAnsi="Times New Roman" w:cs="Times New Roman"/>
                <w:sz w:val="20"/>
                <w:szCs w:val="20"/>
              </w:rPr>
              <w:t>Директор Навчально-наукового інституту високих технологій, професор</w:t>
            </w:r>
          </w:p>
          <w:p w:rsidR="00060B24" w:rsidRDefault="00060B24">
            <w:pPr>
              <w:rPr>
                <w:rFonts w:ascii="Times New Roman" w:eastAsia="Times New Roman" w:hAnsi="Times New Roman" w:cs="Times New Roman"/>
                <w:sz w:val="20"/>
                <w:szCs w:val="20"/>
              </w:rPr>
            </w:pPr>
          </w:p>
          <w:p w:rsidR="00060B24" w:rsidRDefault="009A55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rsidR="00060B24" w:rsidRDefault="009A55F0">
            <w:pPr>
              <w:ind w:right="3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_____________      </w:t>
            </w:r>
            <w:r>
              <w:rPr>
                <w:rFonts w:ascii="Times New Roman" w:eastAsia="Times New Roman" w:hAnsi="Times New Roman" w:cs="Times New Roman"/>
                <w:sz w:val="20"/>
                <w:szCs w:val="20"/>
              </w:rPr>
              <w:t xml:space="preserve"> Ігор КОМАРОВ</w:t>
            </w:r>
          </w:p>
          <w:p w:rsidR="00060B24" w:rsidRDefault="009A55F0">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w:t>
            </w:r>
            <w:r>
              <w:rPr>
                <w:rFonts w:ascii="Times New Roman" w:eastAsia="Times New Roman" w:hAnsi="Times New Roman" w:cs="Times New Roman"/>
                <w:sz w:val="20"/>
                <w:szCs w:val="20"/>
                <w:vertAlign w:val="superscript"/>
              </w:rPr>
              <w:t xml:space="preserve">                                        </w:t>
            </w:r>
          </w:p>
        </w:tc>
        <w:tc>
          <w:tcPr>
            <w:tcW w:w="5069" w:type="dxa"/>
            <w:vMerge w:val="restart"/>
            <w:tcMar>
              <w:top w:w="0" w:type="dxa"/>
              <w:left w:w="115" w:type="dxa"/>
              <w:bottom w:w="0" w:type="dxa"/>
              <w:right w:w="115" w:type="dxa"/>
            </w:tcMar>
          </w:tcPr>
          <w:p w:rsidR="00060B24" w:rsidRDefault="009A55F0">
            <w:pPr>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ПОГОДЖЕНО:</w:t>
            </w:r>
          </w:p>
          <w:p w:rsidR="00060B24" w:rsidRDefault="009A55F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Перший заступник виконавчого директора з питань грантової підтримки </w:t>
            </w:r>
            <w:proofErr w:type="spellStart"/>
            <w:r>
              <w:rPr>
                <w:rFonts w:ascii="Times New Roman" w:eastAsia="Times New Roman" w:hAnsi="Times New Roman" w:cs="Times New Roman"/>
                <w:color w:val="000000"/>
                <w:sz w:val="20"/>
                <w:szCs w:val="20"/>
              </w:rPr>
              <w:t>Грантонадавача</w:t>
            </w:r>
            <w:proofErr w:type="spellEnd"/>
          </w:p>
          <w:p w:rsidR="00060B24" w:rsidRDefault="009A55F0">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rsidR="00060B24" w:rsidRDefault="009A55F0">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rsidR="00060B24" w:rsidRDefault="00060B24">
            <w:pPr>
              <w:ind w:right="41"/>
              <w:rPr>
                <w:rFonts w:ascii="Times New Roman" w:eastAsia="Times New Roman" w:hAnsi="Times New Roman" w:cs="Times New Roman"/>
                <w:color w:val="000000"/>
                <w:sz w:val="20"/>
                <w:szCs w:val="20"/>
              </w:rPr>
            </w:pPr>
          </w:p>
          <w:p w:rsidR="00060B24" w:rsidRDefault="009A55F0">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Начальник управління грантового забезпечення </w:t>
            </w:r>
            <w:proofErr w:type="spellStart"/>
            <w:r>
              <w:rPr>
                <w:rFonts w:ascii="Times New Roman" w:eastAsia="Times New Roman" w:hAnsi="Times New Roman" w:cs="Times New Roman"/>
                <w:color w:val="000000"/>
                <w:sz w:val="20"/>
                <w:szCs w:val="20"/>
              </w:rPr>
              <w:t>Грантонадавача</w:t>
            </w:r>
            <w:proofErr w:type="spellEnd"/>
            <w:r>
              <w:rPr>
                <w:rFonts w:ascii="Times New Roman" w:eastAsia="Times New Roman" w:hAnsi="Times New Roman" w:cs="Times New Roman"/>
                <w:color w:val="000000"/>
                <w:sz w:val="20"/>
                <w:szCs w:val="20"/>
              </w:rPr>
              <w:t xml:space="preserve"> </w:t>
            </w:r>
          </w:p>
          <w:p w:rsidR="00060B24" w:rsidRDefault="009A55F0">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rsidR="00060B24" w:rsidRDefault="009A55F0">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rsidR="00060B24" w:rsidRDefault="00060B24">
            <w:pPr>
              <w:ind w:right="41"/>
              <w:jc w:val="center"/>
              <w:rPr>
                <w:rFonts w:ascii="Times New Roman" w:eastAsia="Times New Roman" w:hAnsi="Times New Roman" w:cs="Times New Roman"/>
                <w:sz w:val="20"/>
                <w:szCs w:val="20"/>
                <w:vertAlign w:val="superscript"/>
              </w:rPr>
            </w:pPr>
          </w:p>
          <w:p w:rsidR="00060B24" w:rsidRDefault="009A55F0">
            <w:pPr>
              <w:ind w:right="41"/>
              <w:rPr>
                <w:rFonts w:ascii="Times New Roman" w:eastAsia="Times New Roman" w:hAnsi="Times New Roman" w:cs="Times New Roman"/>
                <w:sz w:val="20"/>
                <w:szCs w:val="20"/>
              </w:rPr>
            </w:pPr>
            <w:r>
              <w:rPr>
                <w:rFonts w:ascii="Times New Roman" w:eastAsia="Times New Roman" w:hAnsi="Times New Roman" w:cs="Times New Roman"/>
                <w:sz w:val="20"/>
                <w:szCs w:val="20"/>
              </w:rPr>
              <w:t>Начальник відділу ______________________________________________________________________________________________</w:t>
            </w:r>
            <w:r>
              <w:rPr>
                <w:rFonts w:ascii="Times New Roman" w:eastAsia="Times New Roman" w:hAnsi="Times New Roman" w:cs="Times New Roman"/>
                <w:color w:val="000000"/>
                <w:sz w:val="20"/>
                <w:szCs w:val="20"/>
              </w:rPr>
              <w:t xml:space="preserve"> управління грантового забезпечення </w:t>
            </w:r>
            <w:proofErr w:type="spellStart"/>
            <w:r>
              <w:rPr>
                <w:rFonts w:ascii="Times New Roman" w:eastAsia="Times New Roman" w:hAnsi="Times New Roman" w:cs="Times New Roman"/>
                <w:color w:val="000000"/>
                <w:sz w:val="20"/>
                <w:szCs w:val="20"/>
              </w:rPr>
              <w:t>Грантонадавача</w:t>
            </w:r>
            <w:proofErr w:type="spellEnd"/>
          </w:p>
          <w:p w:rsidR="00060B24" w:rsidRDefault="009A55F0">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rsidR="00060B24" w:rsidRDefault="009A55F0">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rsidR="00060B24" w:rsidRDefault="00060B24">
            <w:pPr>
              <w:ind w:right="41"/>
              <w:rPr>
                <w:rFonts w:ascii="Times New Roman" w:eastAsia="Times New Roman" w:hAnsi="Times New Roman" w:cs="Times New Roman"/>
                <w:color w:val="000000"/>
                <w:sz w:val="20"/>
                <w:szCs w:val="20"/>
              </w:rPr>
            </w:pPr>
          </w:p>
          <w:p w:rsidR="00060B24" w:rsidRDefault="009A55F0">
            <w:pPr>
              <w:ind w:right="41"/>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Головний спеціаліст </w:t>
            </w:r>
            <w:r>
              <w:rPr>
                <w:rFonts w:ascii="Times New Roman" w:eastAsia="Times New Roman" w:hAnsi="Times New Roman" w:cs="Times New Roman"/>
                <w:sz w:val="20"/>
                <w:szCs w:val="20"/>
              </w:rPr>
              <w:t>відділу ______________________________________________________________________________________________</w:t>
            </w:r>
            <w:r>
              <w:rPr>
                <w:rFonts w:ascii="Times New Roman" w:eastAsia="Times New Roman" w:hAnsi="Times New Roman" w:cs="Times New Roman"/>
                <w:color w:val="000000"/>
                <w:sz w:val="20"/>
                <w:szCs w:val="20"/>
              </w:rPr>
              <w:t xml:space="preserve"> управління грантового забезпечення </w:t>
            </w:r>
            <w:proofErr w:type="spellStart"/>
            <w:r>
              <w:rPr>
                <w:rFonts w:ascii="Times New Roman" w:eastAsia="Times New Roman" w:hAnsi="Times New Roman" w:cs="Times New Roman"/>
                <w:color w:val="000000"/>
                <w:sz w:val="20"/>
                <w:szCs w:val="20"/>
              </w:rPr>
              <w:t>Грантонадавача</w:t>
            </w:r>
            <w:proofErr w:type="spellEnd"/>
          </w:p>
          <w:p w:rsidR="00060B24" w:rsidRDefault="009A55F0">
            <w:pPr>
              <w:ind w:left="3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_________________ __________________________</w:t>
            </w:r>
          </w:p>
          <w:p w:rsidR="00060B24" w:rsidRDefault="009A55F0">
            <w:pPr>
              <w:ind w:left="30"/>
              <w:jc w:val="both"/>
              <w:rPr>
                <w:rFonts w:ascii="Times New Roman" w:eastAsia="Times New Roman" w:hAnsi="Times New Roman" w:cs="Times New Roman"/>
                <w:sz w:val="20"/>
                <w:szCs w:val="20"/>
                <w:vertAlign w:val="superscript"/>
              </w:rPr>
            </w:pPr>
            <w:r>
              <w:rPr>
                <w:rFonts w:ascii="Times New Roman" w:eastAsia="Times New Roman" w:hAnsi="Times New Roman" w:cs="Times New Roman"/>
                <w:color w:val="000000"/>
                <w:sz w:val="20"/>
                <w:szCs w:val="20"/>
                <w:vertAlign w:val="superscript"/>
              </w:rPr>
              <w:t xml:space="preserve">            (підпис) </w:t>
            </w:r>
            <w:r>
              <w:rPr>
                <w:rFonts w:ascii="Times New Roman" w:eastAsia="Times New Roman" w:hAnsi="Times New Roman" w:cs="Times New Roman"/>
                <w:sz w:val="20"/>
                <w:szCs w:val="20"/>
                <w:vertAlign w:val="superscript"/>
              </w:rPr>
              <w:t xml:space="preserve">                                            (Власне ім’я та ПРІЗВИЩЕ)</w:t>
            </w:r>
          </w:p>
          <w:p w:rsidR="00060B24" w:rsidRDefault="00060B24">
            <w:pPr>
              <w:ind w:right="41"/>
              <w:jc w:val="center"/>
              <w:rPr>
                <w:rFonts w:ascii="Times New Roman" w:eastAsia="Times New Roman" w:hAnsi="Times New Roman" w:cs="Times New Roman"/>
                <w:sz w:val="20"/>
                <w:szCs w:val="20"/>
                <w:vertAlign w:val="superscript"/>
              </w:rPr>
            </w:pPr>
          </w:p>
        </w:tc>
      </w:tr>
      <w:tr w:rsidR="00060B24">
        <w:trPr>
          <w:trHeight w:val="1232"/>
        </w:trPr>
        <w:tc>
          <w:tcPr>
            <w:tcW w:w="5001" w:type="dxa"/>
            <w:tcMar>
              <w:top w:w="0" w:type="dxa"/>
              <w:left w:w="115" w:type="dxa"/>
              <w:bottom w:w="0" w:type="dxa"/>
              <w:right w:w="115" w:type="dxa"/>
            </w:tcMar>
          </w:tcPr>
          <w:p w:rsidR="00060B24" w:rsidRDefault="00060B24">
            <w:pPr>
              <w:spacing w:after="240"/>
              <w:rPr>
                <w:rFonts w:ascii="Times New Roman" w:eastAsia="Times New Roman" w:hAnsi="Times New Roman" w:cs="Times New Roman"/>
                <w:sz w:val="24"/>
                <w:szCs w:val="24"/>
              </w:rPr>
            </w:pPr>
          </w:p>
        </w:tc>
        <w:tc>
          <w:tcPr>
            <w:tcW w:w="5069" w:type="dxa"/>
            <w:vMerge/>
            <w:tcMar>
              <w:top w:w="0" w:type="dxa"/>
              <w:left w:w="115" w:type="dxa"/>
              <w:bottom w:w="0" w:type="dxa"/>
              <w:right w:w="115" w:type="dxa"/>
            </w:tcMar>
          </w:tcPr>
          <w:p w:rsidR="00060B24" w:rsidRDefault="00060B2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rsidR="00060B24" w:rsidRDefault="00060B24">
      <w:pPr>
        <w:spacing w:line="240" w:lineRule="auto"/>
        <w:jc w:val="both"/>
        <w:rPr>
          <w:rFonts w:ascii="Times New Roman" w:eastAsia="Times New Roman" w:hAnsi="Times New Roman" w:cs="Times New Roman"/>
          <w:color w:val="000000"/>
          <w:sz w:val="24"/>
          <w:szCs w:val="24"/>
        </w:rPr>
      </w:pPr>
    </w:p>
    <w:sectPr w:rsidR="00060B24">
      <w:headerReference w:type="default" r:id="rId10"/>
      <w:pgSz w:w="11909" w:h="16834"/>
      <w:pgMar w:top="990" w:right="659" w:bottom="0" w:left="117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9B9" w:rsidRDefault="009A55F0">
      <w:pPr>
        <w:spacing w:line="240" w:lineRule="auto"/>
      </w:pPr>
      <w:r>
        <w:separator/>
      </w:r>
    </w:p>
  </w:endnote>
  <w:endnote w:type="continuationSeparator" w:id="0">
    <w:p w:rsidR="00E119B9" w:rsidRDefault="009A5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9B9" w:rsidRDefault="009A55F0">
      <w:pPr>
        <w:spacing w:line="240" w:lineRule="auto"/>
      </w:pPr>
      <w:r>
        <w:separator/>
      </w:r>
    </w:p>
  </w:footnote>
  <w:footnote w:type="continuationSeparator" w:id="0">
    <w:p w:rsidR="00E119B9" w:rsidRDefault="009A55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B24" w:rsidRDefault="009A55F0">
    <w:pPr>
      <w:pBdr>
        <w:top w:val="nil"/>
        <w:left w:val="nil"/>
        <w:bottom w:val="nil"/>
        <w:right w:val="nil"/>
        <w:between w:val="nil"/>
      </w:pBdr>
      <w:tabs>
        <w:tab w:val="center" w:pos="4819"/>
        <w:tab w:val="right" w:pos="9639"/>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9B720D">
      <w:rPr>
        <w:rFonts w:ascii="Times New Roman" w:eastAsia="Times New Roman" w:hAnsi="Times New Roman" w:cs="Times New Roman"/>
        <w:noProof/>
        <w:color w:val="000000"/>
        <w:sz w:val="24"/>
        <w:szCs w:val="24"/>
      </w:rPr>
      <w:t>7</w:t>
    </w:r>
    <w:r>
      <w:rPr>
        <w:rFonts w:ascii="Times New Roman" w:eastAsia="Times New Roman" w:hAnsi="Times New Roman" w:cs="Times New Roman"/>
        <w:color w:val="000000"/>
        <w:sz w:val="24"/>
        <w:szCs w:val="24"/>
      </w:rPr>
      <w:fldChar w:fldCharType="end"/>
    </w:r>
  </w:p>
  <w:p w:rsidR="00060B24" w:rsidRDefault="00060B24">
    <w:pPr>
      <w:pBdr>
        <w:top w:val="nil"/>
        <w:left w:val="nil"/>
        <w:bottom w:val="nil"/>
        <w:right w:val="nil"/>
        <w:between w:val="nil"/>
      </w:pBdr>
      <w:tabs>
        <w:tab w:val="center" w:pos="4819"/>
        <w:tab w:val="right" w:pos="9639"/>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60B24"/>
    <w:rsid w:val="00060B24"/>
    <w:rsid w:val="004609C6"/>
    <w:rsid w:val="009A55F0"/>
    <w:rsid w:val="009B720D"/>
    <w:rsid w:val="00E119B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0">
    <w:name w:val="1"/>
    <w:basedOn w:val="a1"/>
    <w:rsid w:val="00B8574B"/>
    <w:tblPr>
      <w:tblStyleRowBandSize w:val="1"/>
      <w:tblStyleColBandSize w:val="1"/>
      <w:tblCellMar>
        <w:left w:w="115"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rPr>
  </w:style>
  <w:style w:type="paragraph" w:styleId="a5">
    <w:name w:val="List Paragraph"/>
    <w:basedOn w:val="a"/>
    <w:uiPriority w:val="34"/>
    <w:qFormat/>
    <w:rsid w:val="00414F51"/>
    <w:pPr>
      <w:ind w:left="720"/>
      <w:contextualSpacing/>
    </w:pPr>
  </w:style>
  <w:style w:type="table" w:customStyle="1" w:styleId="a6">
    <w:basedOn w:val="TableNormal10"/>
    <w:rsid w:val="004C5B67"/>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0"/>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и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ий колонтитул Знак"/>
    <w:basedOn w:val="a0"/>
    <w:link w:val="ae"/>
    <w:uiPriority w:val="99"/>
    <w:rsid w:val="00D5648B"/>
  </w:style>
  <w:style w:type="table" w:customStyle="1" w:styleId="af0">
    <w:basedOn w:val="TableNormal2"/>
    <w:pPr>
      <w:spacing w:line="240" w:lineRule="auto"/>
    </w:pPr>
    <w:tblPr>
      <w:tblStyleRowBandSize w:val="1"/>
      <w:tblStyleColBandSize w:val="1"/>
      <w:tblCellMar>
        <w:left w:w="115" w:type="dxa"/>
        <w:right w:w="115" w:type="dxa"/>
      </w:tblCellMar>
    </w:tblPr>
  </w:style>
  <w:style w:type="table" w:customStyle="1" w:styleId="af1">
    <w:basedOn w:val="TableNormal2"/>
    <w:pPr>
      <w:spacing w:line="240" w:lineRule="auto"/>
    </w:pPr>
    <w:tblPr>
      <w:tblStyleRowBandSize w:val="1"/>
      <w:tblStyleColBandSize w:val="1"/>
      <w:tblCellMar>
        <w:left w:w="115" w:type="dxa"/>
        <w:right w:w="115" w:type="dxa"/>
      </w:tblCellMar>
    </w:tblPr>
  </w:style>
  <w:style w:type="table" w:customStyle="1" w:styleId="af2">
    <w:basedOn w:val="TableNormal2"/>
    <w:pPr>
      <w:spacing w:line="240" w:lineRule="auto"/>
    </w:pPr>
    <w:tblPr>
      <w:tblStyleRowBandSize w:val="1"/>
      <w:tblStyleColBandSize w:val="1"/>
      <w:tblCellMar>
        <w:left w:w="115" w:type="dxa"/>
        <w:right w:w="115" w:type="dxa"/>
      </w:tblCellMar>
    </w:tblPr>
  </w:style>
  <w:style w:type="table" w:customStyle="1" w:styleId="af3">
    <w:basedOn w:val="TableNormal2"/>
    <w:pPr>
      <w:spacing w:line="240" w:lineRule="auto"/>
    </w:pPr>
    <w:tblPr>
      <w:tblStyleRowBandSize w:val="1"/>
      <w:tblStyleColBandSize w:val="1"/>
      <w:tblCellMar>
        <w:left w:w="115" w:type="dxa"/>
        <w:right w:w="115" w:type="dxa"/>
      </w:tblCellMar>
    </w:tblPr>
  </w:style>
  <w:style w:type="table" w:customStyle="1" w:styleId="af4">
    <w:basedOn w:val="TableNormal2"/>
    <w:pPr>
      <w:spacing w:line="240" w:lineRule="auto"/>
    </w:pPr>
    <w:tblPr>
      <w:tblStyleRowBandSize w:val="1"/>
      <w:tblStyleColBandSize w:val="1"/>
      <w:tblCellMar>
        <w:left w:w="115" w:type="dxa"/>
        <w:right w:w="115" w:type="dxa"/>
      </w:tblCellMar>
    </w:tblPr>
  </w:style>
  <w:style w:type="table" w:customStyle="1" w:styleId="af5">
    <w:basedOn w:val="TableNormal2"/>
    <w:pPr>
      <w:spacing w:line="240" w:lineRule="auto"/>
    </w:pPr>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top w:w="15" w:type="dxa"/>
        <w:left w:w="15" w:type="dxa"/>
        <w:bottom w:w="15" w:type="dxa"/>
        <w:right w:w="15" w:type="dxa"/>
      </w:tblCellMar>
    </w:tblPr>
  </w:style>
  <w:style w:type="table" w:customStyle="1" w:styleId="af7">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a">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b">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c">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d">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e">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0">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1">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2">
    <w:basedOn w:val="TableNormal1"/>
    <w:pPr>
      <w:spacing w:line="240" w:lineRule="auto"/>
    </w:pPr>
    <w:tblPr>
      <w:tblStyleRowBandSize w:val="1"/>
      <w:tblStyleColBandSize w:val="1"/>
      <w:tblCellMar>
        <w:top w:w="15" w:type="dxa"/>
        <w:left w:w="15" w:type="dxa"/>
        <w:bottom w:w="15" w:type="dxa"/>
        <w:right w:w="15" w:type="dxa"/>
      </w:tblCellMar>
    </w:tblPr>
  </w:style>
  <w:style w:type="character" w:styleId="aff3">
    <w:name w:val="Hyperlink"/>
    <w:basedOn w:val="a0"/>
    <w:uiPriority w:val="99"/>
    <w:unhideWhenUsed/>
    <w:rsid w:val="008B5EBA"/>
    <w:rPr>
      <w:color w:val="0000FF" w:themeColor="hyperlink"/>
      <w:u w:val="single"/>
    </w:rPr>
  </w:style>
  <w:style w:type="character" w:customStyle="1" w:styleId="UnresolvedMention">
    <w:name w:val="Unresolved Mention"/>
    <w:basedOn w:val="a0"/>
    <w:uiPriority w:val="99"/>
    <w:semiHidden/>
    <w:unhideWhenUsed/>
    <w:rsid w:val="008B5EBA"/>
    <w:rPr>
      <w:color w:val="605E5C"/>
      <w:shd w:val="clear" w:color="auto" w:fill="E1DFDD"/>
    </w:rPr>
  </w:style>
  <w:style w:type="table" w:customStyle="1" w:styleId="aff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line="240" w:lineRule="auto"/>
    </w:pPr>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74B"/>
  </w:style>
  <w:style w:type="paragraph" w:styleId="1">
    <w:name w:val="heading 1"/>
    <w:basedOn w:val="Normal1"/>
    <w:next w:val="Normal1"/>
    <w:uiPriority w:val="9"/>
    <w:qFormat/>
    <w:rsid w:val="00B8574B"/>
    <w:pPr>
      <w:keepNext/>
      <w:keepLines/>
      <w:spacing w:before="400" w:after="120"/>
      <w:outlineLvl w:val="0"/>
    </w:pPr>
    <w:rPr>
      <w:sz w:val="40"/>
      <w:szCs w:val="40"/>
    </w:rPr>
  </w:style>
  <w:style w:type="paragraph" w:styleId="2">
    <w:name w:val="heading 2"/>
    <w:basedOn w:val="Normal1"/>
    <w:next w:val="Normal1"/>
    <w:uiPriority w:val="9"/>
    <w:semiHidden/>
    <w:unhideWhenUsed/>
    <w:qFormat/>
    <w:rsid w:val="00B8574B"/>
    <w:pPr>
      <w:keepNext/>
      <w:keepLines/>
      <w:spacing w:before="360" w:after="120"/>
      <w:outlineLvl w:val="1"/>
    </w:pPr>
    <w:rPr>
      <w:sz w:val="32"/>
      <w:szCs w:val="32"/>
    </w:rPr>
  </w:style>
  <w:style w:type="paragraph" w:styleId="3">
    <w:name w:val="heading 3"/>
    <w:basedOn w:val="Normal1"/>
    <w:next w:val="Normal1"/>
    <w:uiPriority w:val="9"/>
    <w:semiHidden/>
    <w:unhideWhenUsed/>
    <w:qFormat/>
    <w:rsid w:val="00B8574B"/>
    <w:pPr>
      <w:keepNext/>
      <w:keepLines/>
      <w:spacing w:before="320" w:after="80"/>
      <w:outlineLvl w:val="2"/>
    </w:pPr>
    <w:rPr>
      <w:color w:val="434343"/>
      <w:sz w:val="28"/>
      <w:szCs w:val="28"/>
    </w:rPr>
  </w:style>
  <w:style w:type="paragraph" w:styleId="4">
    <w:name w:val="heading 4"/>
    <w:basedOn w:val="Normal1"/>
    <w:next w:val="Normal1"/>
    <w:uiPriority w:val="9"/>
    <w:semiHidden/>
    <w:unhideWhenUsed/>
    <w:qFormat/>
    <w:rsid w:val="00B8574B"/>
    <w:pPr>
      <w:keepNext/>
      <w:keepLines/>
      <w:spacing w:before="280" w:after="80"/>
      <w:outlineLvl w:val="3"/>
    </w:pPr>
    <w:rPr>
      <w:color w:val="666666"/>
      <w:sz w:val="24"/>
      <w:szCs w:val="24"/>
    </w:rPr>
  </w:style>
  <w:style w:type="paragraph" w:styleId="5">
    <w:name w:val="heading 5"/>
    <w:basedOn w:val="Normal1"/>
    <w:next w:val="Normal1"/>
    <w:uiPriority w:val="9"/>
    <w:semiHidden/>
    <w:unhideWhenUsed/>
    <w:qFormat/>
    <w:rsid w:val="00B8574B"/>
    <w:pPr>
      <w:keepNext/>
      <w:keepLines/>
      <w:spacing w:before="240" w:after="80"/>
      <w:outlineLvl w:val="4"/>
    </w:pPr>
    <w:rPr>
      <w:color w:val="666666"/>
    </w:rPr>
  </w:style>
  <w:style w:type="paragraph" w:styleId="6">
    <w:name w:val="heading 6"/>
    <w:basedOn w:val="Normal1"/>
    <w:next w:val="Normal1"/>
    <w:uiPriority w:val="9"/>
    <w:semiHidden/>
    <w:unhideWhenUsed/>
    <w:qFormat/>
    <w:rsid w:val="00B8574B"/>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Normal1"/>
    <w:next w:val="Normal1"/>
    <w:uiPriority w:val="10"/>
    <w:qFormat/>
    <w:rsid w:val="00B8574B"/>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0">
    <w:name w:val="Table Normal1"/>
    <w:rsid w:val="004C5B67"/>
    <w:tblPr>
      <w:tblCellMar>
        <w:top w:w="0" w:type="dxa"/>
        <w:left w:w="0" w:type="dxa"/>
        <w:bottom w:w="0" w:type="dxa"/>
        <w:right w:w="0" w:type="dxa"/>
      </w:tblCellMar>
    </w:tblPr>
  </w:style>
  <w:style w:type="paragraph" w:customStyle="1" w:styleId="Normal1">
    <w:name w:val="Normal1"/>
    <w:rsid w:val="00B8574B"/>
  </w:style>
  <w:style w:type="paragraph" w:styleId="a4">
    <w:name w:val="Subtitle"/>
    <w:basedOn w:val="a"/>
    <w:next w:val="a"/>
    <w:pPr>
      <w:keepNext/>
      <w:keepLines/>
      <w:pBdr>
        <w:top w:val="nil"/>
        <w:left w:val="nil"/>
        <w:bottom w:val="nil"/>
        <w:right w:val="nil"/>
        <w:between w:val="nil"/>
      </w:pBdr>
      <w:spacing w:after="320"/>
    </w:pPr>
    <w:rPr>
      <w:color w:val="666666"/>
      <w:sz w:val="30"/>
      <w:szCs w:val="30"/>
    </w:rPr>
  </w:style>
  <w:style w:type="table" w:customStyle="1" w:styleId="40">
    <w:name w:val="4"/>
    <w:basedOn w:val="a1"/>
    <w:rsid w:val="00B8574B"/>
    <w:tblPr>
      <w:tblStyleRowBandSize w:val="1"/>
      <w:tblStyleColBandSize w:val="1"/>
      <w:tblCellMar>
        <w:left w:w="115" w:type="dxa"/>
        <w:right w:w="115" w:type="dxa"/>
      </w:tblCellMar>
    </w:tblPr>
  </w:style>
  <w:style w:type="table" w:customStyle="1" w:styleId="30">
    <w:name w:val="3"/>
    <w:basedOn w:val="a1"/>
    <w:rsid w:val="00B8574B"/>
    <w:tblPr>
      <w:tblStyleRowBandSize w:val="1"/>
      <w:tblStyleColBandSize w:val="1"/>
      <w:tblCellMar>
        <w:left w:w="115" w:type="dxa"/>
        <w:right w:w="115" w:type="dxa"/>
      </w:tblCellMar>
    </w:tblPr>
  </w:style>
  <w:style w:type="table" w:customStyle="1" w:styleId="20">
    <w:name w:val="2"/>
    <w:basedOn w:val="a1"/>
    <w:rsid w:val="00B8574B"/>
    <w:tblPr>
      <w:tblStyleRowBandSize w:val="1"/>
      <w:tblStyleColBandSize w:val="1"/>
      <w:tblCellMar>
        <w:left w:w="115" w:type="dxa"/>
        <w:right w:w="115" w:type="dxa"/>
      </w:tblCellMar>
    </w:tblPr>
  </w:style>
  <w:style w:type="table" w:customStyle="1" w:styleId="10">
    <w:name w:val="1"/>
    <w:basedOn w:val="a1"/>
    <w:rsid w:val="00B8574B"/>
    <w:tblPr>
      <w:tblStyleRowBandSize w:val="1"/>
      <w:tblStyleColBandSize w:val="1"/>
      <w:tblCellMar>
        <w:left w:w="115" w:type="dxa"/>
        <w:right w:w="115" w:type="dxa"/>
      </w:tblCellMar>
    </w:tblPr>
  </w:style>
  <w:style w:type="paragraph" w:customStyle="1" w:styleId="11">
    <w:name w:val="Обычный1"/>
    <w:rsid w:val="00A8384F"/>
    <w:pPr>
      <w:spacing w:line="240" w:lineRule="auto"/>
    </w:pPr>
    <w:rPr>
      <w:rFonts w:ascii="Times New Roman" w:eastAsia="Times New Roman" w:hAnsi="Times New Roman" w:cs="Times New Roman"/>
      <w:sz w:val="20"/>
      <w:szCs w:val="20"/>
      <w:lang w:val="ru-RU"/>
    </w:rPr>
  </w:style>
  <w:style w:type="paragraph" w:styleId="a5">
    <w:name w:val="List Paragraph"/>
    <w:basedOn w:val="a"/>
    <w:uiPriority w:val="34"/>
    <w:qFormat/>
    <w:rsid w:val="00414F51"/>
    <w:pPr>
      <w:ind w:left="720"/>
      <w:contextualSpacing/>
    </w:pPr>
  </w:style>
  <w:style w:type="table" w:customStyle="1" w:styleId="a6">
    <w:basedOn w:val="TableNormal10"/>
    <w:rsid w:val="004C5B67"/>
    <w:tblPr>
      <w:tblStyleRowBandSize w:val="1"/>
      <w:tblStyleColBandSize w:val="1"/>
      <w:tblCellMar>
        <w:left w:w="115" w:type="dxa"/>
        <w:right w:w="115" w:type="dxa"/>
      </w:tblCellMar>
    </w:tblPr>
  </w:style>
  <w:style w:type="paragraph" w:styleId="a7">
    <w:name w:val="Balloon Text"/>
    <w:basedOn w:val="a"/>
    <w:link w:val="a8"/>
    <w:uiPriority w:val="99"/>
    <w:semiHidden/>
    <w:unhideWhenUsed/>
    <w:rsid w:val="000403B2"/>
    <w:pPr>
      <w:spacing w:line="240" w:lineRule="auto"/>
    </w:pPr>
    <w:rPr>
      <w:rFonts w:ascii="Times New Roman" w:hAnsi="Times New Roman" w:cs="Times New Roman"/>
      <w:sz w:val="18"/>
      <w:szCs w:val="18"/>
    </w:rPr>
  </w:style>
  <w:style w:type="character" w:customStyle="1" w:styleId="a8">
    <w:name w:val="Текст выноски Знак"/>
    <w:basedOn w:val="a0"/>
    <w:link w:val="a7"/>
    <w:uiPriority w:val="99"/>
    <w:semiHidden/>
    <w:rsid w:val="000403B2"/>
    <w:rPr>
      <w:rFonts w:ascii="Times New Roman" w:hAnsi="Times New Roman" w:cs="Times New Roman"/>
      <w:sz w:val="18"/>
      <w:szCs w:val="18"/>
    </w:rPr>
  </w:style>
  <w:style w:type="paragraph" w:styleId="a9">
    <w:name w:val="Normal (Web)"/>
    <w:basedOn w:val="a"/>
    <w:uiPriority w:val="99"/>
    <w:semiHidden/>
    <w:unhideWhenUsed/>
    <w:rsid w:val="001A56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1A560D"/>
  </w:style>
  <w:style w:type="table" w:customStyle="1" w:styleId="aa">
    <w:basedOn w:val="TableNormal10"/>
    <w:rsid w:val="004C5B67"/>
    <w:tblPr>
      <w:tblStyleRowBandSize w:val="1"/>
      <w:tblStyleColBandSize w:val="1"/>
      <w:tblCellMar>
        <w:top w:w="15" w:type="dxa"/>
        <w:left w:w="15" w:type="dxa"/>
        <w:bottom w:w="15" w:type="dxa"/>
        <w:right w:w="15" w:type="dxa"/>
      </w:tblCellMar>
    </w:tblPr>
  </w:style>
  <w:style w:type="table" w:styleId="ab">
    <w:name w:val="Table Grid"/>
    <w:basedOn w:val="a1"/>
    <w:uiPriority w:val="39"/>
    <w:rsid w:val="00AB19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5648B"/>
    <w:pPr>
      <w:tabs>
        <w:tab w:val="center" w:pos="4819"/>
        <w:tab w:val="right" w:pos="9639"/>
      </w:tabs>
      <w:spacing w:line="240" w:lineRule="auto"/>
    </w:pPr>
  </w:style>
  <w:style w:type="character" w:customStyle="1" w:styleId="ad">
    <w:name w:val="Верхний колонтитул Знак"/>
    <w:basedOn w:val="a0"/>
    <w:link w:val="ac"/>
    <w:uiPriority w:val="99"/>
    <w:rsid w:val="00D5648B"/>
  </w:style>
  <w:style w:type="paragraph" w:styleId="ae">
    <w:name w:val="footer"/>
    <w:basedOn w:val="a"/>
    <w:link w:val="af"/>
    <w:uiPriority w:val="99"/>
    <w:unhideWhenUsed/>
    <w:rsid w:val="00D5648B"/>
    <w:pPr>
      <w:tabs>
        <w:tab w:val="center" w:pos="4819"/>
        <w:tab w:val="right" w:pos="9639"/>
      </w:tabs>
      <w:spacing w:line="240" w:lineRule="auto"/>
    </w:pPr>
  </w:style>
  <w:style w:type="character" w:customStyle="1" w:styleId="af">
    <w:name w:val="Нижний колонтитул Знак"/>
    <w:basedOn w:val="a0"/>
    <w:link w:val="ae"/>
    <w:uiPriority w:val="99"/>
    <w:rsid w:val="00D5648B"/>
  </w:style>
  <w:style w:type="table" w:customStyle="1" w:styleId="af0">
    <w:basedOn w:val="TableNormal2"/>
    <w:pPr>
      <w:spacing w:line="240" w:lineRule="auto"/>
    </w:pPr>
    <w:tblPr>
      <w:tblStyleRowBandSize w:val="1"/>
      <w:tblStyleColBandSize w:val="1"/>
      <w:tblCellMar>
        <w:left w:w="115" w:type="dxa"/>
        <w:right w:w="115" w:type="dxa"/>
      </w:tblCellMar>
    </w:tblPr>
  </w:style>
  <w:style w:type="table" w:customStyle="1" w:styleId="af1">
    <w:basedOn w:val="TableNormal2"/>
    <w:pPr>
      <w:spacing w:line="240" w:lineRule="auto"/>
    </w:pPr>
    <w:tblPr>
      <w:tblStyleRowBandSize w:val="1"/>
      <w:tblStyleColBandSize w:val="1"/>
      <w:tblCellMar>
        <w:left w:w="115" w:type="dxa"/>
        <w:right w:w="115" w:type="dxa"/>
      </w:tblCellMar>
    </w:tblPr>
  </w:style>
  <w:style w:type="table" w:customStyle="1" w:styleId="af2">
    <w:basedOn w:val="TableNormal2"/>
    <w:pPr>
      <w:spacing w:line="240" w:lineRule="auto"/>
    </w:pPr>
    <w:tblPr>
      <w:tblStyleRowBandSize w:val="1"/>
      <w:tblStyleColBandSize w:val="1"/>
      <w:tblCellMar>
        <w:left w:w="115" w:type="dxa"/>
        <w:right w:w="115" w:type="dxa"/>
      </w:tblCellMar>
    </w:tblPr>
  </w:style>
  <w:style w:type="table" w:customStyle="1" w:styleId="af3">
    <w:basedOn w:val="TableNormal2"/>
    <w:pPr>
      <w:spacing w:line="240" w:lineRule="auto"/>
    </w:pPr>
    <w:tblPr>
      <w:tblStyleRowBandSize w:val="1"/>
      <w:tblStyleColBandSize w:val="1"/>
      <w:tblCellMar>
        <w:left w:w="115" w:type="dxa"/>
        <w:right w:w="115" w:type="dxa"/>
      </w:tblCellMar>
    </w:tblPr>
  </w:style>
  <w:style w:type="table" w:customStyle="1" w:styleId="af4">
    <w:basedOn w:val="TableNormal2"/>
    <w:pPr>
      <w:spacing w:line="240" w:lineRule="auto"/>
    </w:pPr>
    <w:tblPr>
      <w:tblStyleRowBandSize w:val="1"/>
      <w:tblStyleColBandSize w:val="1"/>
      <w:tblCellMar>
        <w:left w:w="115" w:type="dxa"/>
        <w:right w:w="115" w:type="dxa"/>
      </w:tblCellMar>
    </w:tblPr>
  </w:style>
  <w:style w:type="table" w:customStyle="1" w:styleId="af5">
    <w:basedOn w:val="TableNormal2"/>
    <w:pPr>
      <w:spacing w:line="240" w:lineRule="auto"/>
    </w:pPr>
    <w:tblPr>
      <w:tblStyleRowBandSize w:val="1"/>
      <w:tblStyleColBandSize w:val="1"/>
      <w:tblCellMar>
        <w:left w:w="115" w:type="dxa"/>
        <w:right w:w="115" w:type="dxa"/>
      </w:tblCellMar>
    </w:tblPr>
  </w:style>
  <w:style w:type="table" w:customStyle="1" w:styleId="af6">
    <w:basedOn w:val="TableNormal2"/>
    <w:tblPr>
      <w:tblStyleRowBandSize w:val="1"/>
      <w:tblStyleColBandSize w:val="1"/>
      <w:tblCellMar>
        <w:top w:w="15" w:type="dxa"/>
        <w:left w:w="15" w:type="dxa"/>
        <w:bottom w:w="15" w:type="dxa"/>
        <w:right w:w="15" w:type="dxa"/>
      </w:tblCellMar>
    </w:tblPr>
  </w:style>
  <w:style w:type="table" w:customStyle="1" w:styleId="af7">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a">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b">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c">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d">
    <w:basedOn w:val="TableNormal2"/>
    <w:pPr>
      <w:spacing w:line="240" w:lineRule="auto"/>
    </w:pPr>
    <w:tblPr>
      <w:tblStyleRowBandSize w:val="1"/>
      <w:tblStyleColBandSize w:val="1"/>
      <w:tblCellMar>
        <w:top w:w="15" w:type="dxa"/>
        <w:left w:w="15" w:type="dxa"/>
        <w:bottom w:w="15" w:type="dxa"/>
        <w:right w:w="15" w:type="dxa"/>
      </w:tblCellMar>
    </w:tblPr>
  </w:style>
  <w:style w:type="table" w:customStyle="1" w:styleId="afe">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0">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1">
    <w:basedOn w:val="TableNormal1"/>
    <w:pPr>
      <w:spacing w:line="240" w:lineRule="auto"/>
    </w:pPr>
    <w:tblPr>
      <w:tblStyleRowBandSize w:val="1"/>
      <w:tblStyleColBandSize w:val="1"/>
      <w:tblCellMar>
        <w:top w:w="15" w:type="dxa"/>
        <w:left w:w="15" w:type="dxa"/>
        <w:bottom w:w="15" w:type="dxa"/>
        <w:right w:w="15" w:type="dxa"/>
      </w:tblCellMar>
    </w:tblPr>
  </w:style>
  <w:style w:type="table" w:customStyle="1" w:styleId="aff2">
    <w:basedOn w:val="TableNormal1"/>
    <w:pPr>
      <w:spacing w:line="240" w:lineRule="auto"/>
    </w:pPr>
    <w:tblPr>
      <w:tblStyleRowBandSize w:val="1"/>
      <w:tblStyleColBandSize w:val="1"/>
      <w:tblCellMar>
        <w:top w:w="15" w:type="dxa"/>
        <w:left w:w="15" w:type="dxa"/>
        <w:bottom w:w="15" w:type="dxa"/>
        <w:right w:w="15" w:type="dxa"/>
      </w:tblCellMar>
    </w:tblPr>
  </w:style>
  <w:style w:type="character" w:styleId="aff3">
    <w:name w:val="Hyperlink"/>
    <w:basedOn w:val="a0"/>
    <w:uiPriority w:val="99"/>
    <w:unhideWhenUsed/>
    <w:rsid w:val="008B5EBA"/>
    <w:rPr>
      <w:color w:val="0000FF" w:themeColor="hyperlink"/>
      <w:u w:val="single"/>
    </w:rPr>
  </w:style>
  <w:style w:type="character" w:customStyle="1" w:styleId="UnresolvedMention">
    <w:name w:val="Unresolved Mention"/>
    <w:basedOn w:val="a0"/>
    <w:uiPriority w:val="99"/>
    <w:semiHidden/>
    <w:unhideWhenUsed/>
    <w:rsid w:val="008B5EBA"/>
    <w:rPr>
      <w:color w:val="605E5C"/>
      <w:shd w:val="clear" w:color="auto" w:fill="E1DFDD"/>
    </w:rPr>
  </w:style>
  <w:style w:type="table" w:customStyle="1" w:styleId="aff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1016/j.metrad.2023.10001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luster.univ.kiev.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x2Hr5fneApyde+1sVUoSSm5Sow==">CgMxLjA4AGozChRzdWdnZXN0Lnl2bXZpZDl6c2plORIb0IbRgNC40L3QsCDQk9GA0LjRhtC10L3QutC+ajMKFHN1Z2dlc3QuNmMzdmg1ZGQ5N3hoEhvQhtGA0LjQvdCwINCT0YDQuNGG0LXQvdC60L5qMwoUc3VnZ2VzdC53cGpvZTd1Z2g5eW8SG9CG0YDQuNC90LAg0JPRgNC40YbQtdC90LrQvnIhMVJuNks3WWFBTmNGeGc1SHJYcmJ2MmdmWUZ1NDNsVkVn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30750</Words>
  <Characters>17529</Characters>
  <Application>Microsoft Office Word</Application>
  <DocSecurity>0</DocSecurity>
  <Lines>146</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dc:creator>
  <cp:lastModifiedBy>3-601</cp:lastModifiedBy>
  <cp:revision>3</cp:revision>
  <dcterms:created xsi:type="dcterms:W3CDTF">2024-07-15T14:24:00Z</dcterms:created>
  <dcterms:modified xsi:type="dcterms:W3CDTF">2024-07-25T10:21:00Z</dcterms:modified>
</cp:coreProperties>
</file>