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9132"/>
        </w:tabs>
        <w:spacing w:after="0" w:line="240" w:lineRule="auto"/>
        <w:ind w:left="5128" w:hanging="2.000000000000454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tabs>
          <w:tab w:val="left" w:leader="none" w:pos="9132"/>
        </w:tabs>
        <w:spacing w:after="0" w:line="240" w:lineRule="auto"/>
        <w:ind w:left="5128" w:hanging="2.000000000000454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ЗАТВЕРДЖЕНО</w:t>
      </w:r>
    </w:p>
    <w:p w:rsidR="00000000" w:rsidDel="00000000" w:rsidP="00000000" w:rsidRDefault="00000000" w:rsidRPr="00000000" w14:paraId="00000003">
      <w:pPr>
        <w:tabs>
          <w:tab w:val="left" w:leader="none" w:pos="8460"/>
        </w:tabs>
        <w:spacing w:after="0" w:line="240" w:lineRule="auto"/>
        <w:ind w:left="5128" w:hanging="2.000000000000454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рішенням наукової ради</w:t>
      </w:r>
    </w:p>
    <w:p w:rsidR="00000000" w:rsidDel="00000000" w:rsidP="00000000" w:rsidRDefault="00000000" w:rsidRPr="00000000" w14:paraId="00000004">
      <w:pPr>
        <w:spacing w:after="0" w:line="240" w:lineRule="auto"/>
        <w:ind w:left="453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Національного фонду досліджень України</w:t>
      </w:r>
    </w:p>
    <w:p w:rsidR="00000000" w:rsidDel="00000000" w:rsidP="00000000" w:rsidRDefault="00000000" w:rsidRPr="00000000" w14:paraId="00000005">
      <w:pPr>
        <w:spacing w:after="0" w:line="240" w:lineRule="auto"/>
        <w:ind w:left="2"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  33 від  07.12.2023</w:t>
      </w:r>
    </w:p>
    <w:p w:rsidR="00000000" w:rsidDel="00000000" w:rsidP="00000000" w:rsidRDefault="00000000" w:rsidRPr="00000000" w14:paraId="00000006">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МЕТОДИЧНІ РЕКОМЕНДАЦІЇ</w:t>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планування кошторисної вартості проєкту з виконання наукового дослідження (розробки) за рахунок грантової підтримки </w:t>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Національного фонду досліджень України</w:t>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до умов конкурсу «Передова наука в Україні»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tabs>
          <w:tab w:val="center" w:leader="none" w:pos="1861"/>
        </w:tabs>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Загальні положення</w:t>
      </w:r>
    </w:p>
    <w:p w:rsidR="00000000" w:rsidDel="00000000" w:rsidP="00000000" w:rsidRDefault="00000000" w:rsidRPr="00000000" w14:paraId="0000000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Методичні рекомендації з планування кошторисної вартості проєкту з виконання наукового дослідження (розробки) за рахунок грантової підтримки Національного фонду досліджень України (далі – </w:t>
      </w:r>
      <w:r w:rsidDel="00000000" w:rsidR="00000000" w:rsidRPr="00000000">
        <w:rPr>
          <w:rFonts w:ascii="Times New Roman" w:cs="Times New Roman" w:eastAsia="Times New Roman" w:hAnsi="Times New Roman"/>
          <w:b w:val="1"/>
          <w:sz w:val="28"/>
          <w:szCs w:val="28"/>
          <w:rtl w:val="0"/>
        </w:rPr>
        <w:t xml:space="preserve">Методичні рекомендації</w:t>
      </w:r>
      <w:r w:rsidDel="00000000" w:rsidR="00000000" w:rsidRPr="00000000">
        <w:rPr>
          <w:rFonts w:ascii="Times New Roman" w:cs="Times New Roman" w:eastAsia="Times New Roman" w:hAnsi="Times New Roman"/>
          <w:sz w:val="28"/>
          <w:szCs w:val="28"/>
          <w:rtl w:val="0"/>
        </w:rPr>
        <w:t xml:space="preserve">) розроблені для організаційного забезпечення учасників та переможців конкурсу «Передова наука в Україні», який фінансується Національним фондом досліджень України (далі – </w:t>
      </w:r>
      <w:r w:rsidDel="00000000" w:rsidR="00000000" w:rsidRPr="00000000">
        <w:rPr>
          <w:rFonts w:ascii="Times New Roman" w:cs="Times New Roman" w:eastAsia="Times New Roman" w:hAnsi="Times New Roman"/>
          <w:b w:val="1"/>
          <w:sz w:val="28"/>
          <w:szCs w:val="28"/>
          <w:rtl w:val="0"/>
        </w:rPr>
        <w:t xml:space="preserve">НФДУ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Методичні рекомендації застосовуються з метою дотримання єдиного підходу до планування кошторисної вартості проєктів з виконання наукових досліджень (розробок) за грантової підтримки НФДУ (далі – </w:t>
      </w:r>
      <w:r w:rsidDel="00000000" w:rsidR="00000000" w:rsidRPr="00000000">
        <w:rPr>
          <w:rFonts w:ascii="Times New Roman" w:cs="Times New Roman" w:eastAsia="Times New Roman" w:hAnsi="Times New Roman"/>
          <w:b w:val="1"/>
          <w:sz w:val="28"/>
          <w:szCs w:val="28"/>
          <w:rtl w:val="0"/>
        </w:rPr>
        <w:t xml:space="preserve">Кошторисна вартість проєкту</w:t>
      </w:r>
      <w:r w:rsidDel="00000000" w:rsidR="00000000" w:rsidRPr="00000000">
        <w:rPr>
          <w:rFonts w:ascii="Times New Roman" w:cs="Times New Roman" w:eastAsia="Times New Roman" w:hAnsi="Times New Roman"/>
          <w:sz w:val="28"/>
          <w:szCs w:val="28"/>
          <w:rtl w:val="0"/>
        </w:rPr>
        <w:t xml:space="preserve">) учасниками та переможцями конкурсу «Передова наука в Україні» (далі – </w:t>
      </w:r>
      <w:r w:rsidDel="00000000" w:rsidR="00000000" w:rsidRPr="00000000">
        <w:rPr>
          <w:rFonts w:ascii="Times New Roman" w:cs="Times New Roman" w:eastAsia="Times New Roman" w:hAnsi="Times New Roman"/>
          <w:b w:val="1"/>
          <w:sz w:val="28"/>
          <w:szCs w:val="28"/>
          <w:rtl w:val="0"/>
        </w:rPr>
        <w:t xml:space="preserve">Учасник/Переможець конкурсу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Кошторисна вартість проєкту розраховується Учасниками/Переможцями конкурсу відповідно до Бюджетного кодексу України, Податкового кодексу України, Господарського кодексу України, Кодексу Законів про працю України, Законів України “Про наукову і науково-технічну діяльність”, “Про бухгалтерський облік та фінансову звітність України”, національних положень (стандартів) бухгалтерського обліку, рішень наукової ради НФДУ та інших нормативно-правових актів, що регулюють провадження наукової та науково-технічної діяльності.</w:t>
      </w:r>
    </w:p>
    <w:p w:rsidR="00000000" w:rsidDel="00000000" w:rsidP="00000000" w:rsidRDefault="00000000" w:rsidRPr="00000000" w14:paraId="0000001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Кошторисна вартість проєкту відображається в:</w:t>
      </w:r>
    </w:p>
    <w:p w:rsidR="00000000" w:rsidDel="00000000" w:rsidP="00000000" w:rsidRDefault="00000000" w:rsidRPr="00000000" w14:paraId="0000001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заявці на одержання грантової підтримки (далі – </w:t>
      </w:r>
      <w:r w:rsidDel="00000000" w:rsidR="00000000" w:rsidRPr="00000000">
        <w:rPr>
          <w:rFonts w:ascii="Times New Roman" w:cs="Times New Roman" w:eastAsia="Times New Roman" w:hAnsi="Times New Roman"/>
          <w:b w:val="1"/>
          <w:sz w:val="28"/>
          <w:szCs w:val="28"/>
          <w:rtl w:val="0"/>
        </w:rPr>
        <w:t xml:space="preserve">Заявка</w:t>
      </w:r>
      <w:r w:rsidDel="00000000" w:rsidR="00000000" w:rsidRPr="00000000">
        <w:rPr>
          <w:rFonts w:ascii="Times New Roman" w:cs="Times New Roman" w:eastAsia="Times New Roman" w:hAnsi="Times New Roman"/>
          <w:sz w:val="28"/>
          <w:szCs w:val="28"/>
          <w:rtl w:val="0"/>
        </w:rPr>
        <w:t xml:space="preserve">) (в п. 3.6 «Обсяг фінансування, необхідний для виконання наукового дослідження (розробки), з відповідним детальним обґрунтуванням та наданням відповідного вичерпного переліку за кожною окремою статтею витрат» та у Розділі VII «Інформація про обсяги фінансування проєкту»);</w:t>
      </w:r>
    </w:p>
    <w:p w:rsidR="00000000" w:rsidDel="00000000" w:rsidP="00000000" w:rsidRDefault="00000000" w:rsidRPr="00000000" w14:paraId="0000001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проєкті Кошторису і Розрахунках до кошторису (додатки до Договору про надання грантової підтримки НФДУ).</w:t>
      </w:r>
    </w:p>
    <w:p w:rsidR="00000000" w:rsidDel="00000000" w:rsidP="00000000" w:rsidRDefault="00000000" w:rsidRPr="00000000" w14:paraId="0000001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Проєкт Кошторису і Розрахунків до кошторису складаються з дотриманням встановлених матеріальних та грошових норм, діючих цін і тарифів, обґрунтованих потреб на проведення наукового дослідження (розробки).</w:t>
      </w:r>
    </w:p>
    <w:p w:rsidR="00000000" w:rsidDel="00000000" w:rsidP="00000000" w:rsidRDefault="00000000" w:rsidRPr="00000000" w14:paraId="0000001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До планування Кошторисної вартості проєкту залучаються бухгалтери та/або працівники фінансових підрозділів. </w:t>
      </w:r>
    </w:p>
    <w:p w:rsidR="00000000" w:rsidDel="00000000" w:rsidP="00000000" w:rsidRDefault="00000000" w:rsidRPr="00000000" w14:paraId="00000015">
      <w:pPr>
        <w:spacing w:line="276" w:lineRule="auto"/>
        <w:ind w:left="-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Звертаємо увагу, що Учасник/Переможець конкурсу несе відповідальність за дотримання вимог чинного законодавства України при плануванні Кошторисної вартості проєкту з відповідними обґрунтуваннями за статтями витрат, за цільове, ефективне та раціональне використання бюджетних коштів та здійснення фактичних витрат за статтями Кошторису, за достовірність інформації у звітних та інших документах, передбачених Договором про надання грантової підтримки НФДУ (далі – </w:t>
      </w:r>
      <w:r w:rsidDel="00000000" w:rsidR="00000000" w:rsidRPr="00000000">
        <w:rPr>
          <w:rFonts w:ascii="Times New Roman" w:cs="Times New Roman" w:eastAsia="Times New Roman" w:hAnsi="Times New Roman"/>
          <w:b w:val="1"/>
          <w:sz w:val="28"/>
          <w:szCs w:val="28"/>
          <w:rtl w:val="0"/>
        </w:rPr>
        <w:t xml:space="preserve">Договір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За рахунок гранту не можуть плануватись витрати:</w:t>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пов’язані безпосередньо з реалізацією проєкту (зокрема, оплата посередницьких послуг, придбання товарів, виконання робіт, надання послуг, що не пов’язані з реалізацією проєктів);</w:t>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оплату товарів, робіт і послуг, які були або будуть профінансовані за рахунок інших джерел, до або після підписання Договору;</w:t>
      </w:r>
    </w:p>
    <w:p w:rsidR="00000000" w:rsidDel="00000000" w:rsidP="00000000" w:rsidRDefault="00000000" w:rsidRPr="00000000" w14:paraId="00000019">
      <w:pPr>
        <w:spacing w:line="276" w:lineRule="auto"/>
        <w:ind w:left="-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утримання установ і організацій, у тому числі тих, що є учасниками проєкту.</w:t>
      </w:r>
    </w:p>
    <w:p w:rsidR="00000000" w:rsidDel="00000000" w:rsidP="00000000" w:rsidRDefault="00000000" w:rsidRPr="00000000" w14:paraId="0000001A">
      <w:pPr>
        <w:spacing w:line="276" w:lineRule="auto"/>
        <w:ind w:left="-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Учасники конкурсу під час складання Заявки, зокрема в частині заповнення п. 3.6 «Обсяг фінансування, необхідний для виконання наукового дослідження (розробки), з відповідним обґрунтуванням та наданням відповідного вичерпного переліку за кожною окремою статтею витрат», не можуть самостійно змінювати структуру статей витрат, формульні розрахунки, які визначають граничні межі для окремих груп економічних показників.</w:t>
      </w:r>
    </w:p>
    <w:p w:rsidR="00000000" w:rsidDel="00000000" w:rsidP="00000000" w:rsidRDefault="00000000" w:rsidRPr="00000000" w14:paraId="0000001B">
      <w:pPr>
        <w:tabs>
          <w:tab w:val="center" w:leader="none" w:pos="1861"/>
        </w:tabs>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 Розрахунок Кошторисної вартості проєкту, формування проєкту Кошторису та Розрахунків до кошторису</w:t>
      </w:r>
    </w:p>
    <w:p w:rsidR="00000000" w:rsidDel="00000000" w:rsidP="00000000" w:rsidRDefault="00000000" w:rsidRPr="00000000" w14:paraId="0000001C">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Розрахунок Кошторисної вартості проєкту здійснюється під час підготовки Заявки відповідно до вимог цих Методичних рекомендацій. Проєкт Кошторису, який подається на час укладання Договору, має відповідати сформованій у Заявці Кошторисній вартості проєкту та може бути скорегований за рішенням наукової ради НФДУ, у тому числі, з урахуванням змін обсягів фінансування, передбачених для відповідного бюджетного періоду.</w:t>
      </w:r>
    </w:p>
    <w:p w:rsidR="00000000" w:rsidDel="00000000" w:rsidP="00000000" w:rsidRDefault="00000000" w:rsidRPr="00000000" w14:paraId="0000001D">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Проєкт Кошторису та Розрахунків до кошторису складаються у національній валюті України. </w:t>
      </w:r>
    </w:p>
    <w:p w:rsidR="00000000" w:rsidDel="00000000" w:rsidP="00000000" w:rsidRDefault="00000000" w:rsidRPr="00000000" w14:paraId="0000001E">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Кошторис та Розрахунки до кошторису є невід’ємною частиною Договору.</w:t>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Витрати, що включаються до проєкту Кошторису поділяються на: </w:t>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Прямі витрати.</w:t>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Непрямі витрати (не більше 15% від статті витрат «Прямі витрати»).</w:t>
      </w:r>
    </w:p>
    <w:p w:rsidR="00000000" w:rsidDel="00000000" w:rsidP="00000000" w:rsidRDefault="00000000" w:rsidRPr="00000000" w14:paraId="00000022">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Інші витрати.</w:t>
      </w:r>
    </w:p>
    <w:p w:rsidR="00000000" w:rsidDel="00000000" w:rsidP="00000000" w:rsidRDefault="00000000" w:rsidRPr="00000000" w14:paraId="00000023">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Fonts w:ascii="Times New Roman" w:cs="Times New Roman" w:eastAsia="Times New Roman" w:hAnsi="Times New Roman"/>
          <w:b w:val="1"/>
          <w:sz w:val="28"/>
          <w:szCs w:val="28"/>
          <w:rtl w:val="0"/>
        </w:rPr>
        <w:t xml:space="preserve"> Прямі витрати </w:t>
      </w:r>
      <w:r w:rsidDel="00000000" w:rsidR="00000000" w:rsidRPr="00000000">
        <w:rPr>
          <w:rFonts w:ascii="Times New Roman" w:cs="Times New Roman" w:eastAsia="Times New Roman" w:hAnsi="Times New Roman"/>
          <w:sz w:val="28"/>
          <w:szCs w:val="28"/>
          <w:rtl w:val="0"/>
        </w:rPr>
        <w:t xml:space="preserve">– це витрати, які безпосередньо пов’язані з проведенням наукових досліджень (розробок) (далі – </w:t>
      </w:r>
      <w:r w:rsidDel="00000000" w:rsidR="00000000" w:rsidRPr="00000000">
        <w:rPr>
          <w:rFonts w:ascii="Times New Roman" w:cs="Times New Roman" w:eastAsia="Times New Roman" w:hAnsi="Times New Roman"/>
          <w:b w:val="1"/>
          <w:sz w:val="28"/>
          <w:szCs w:val="28"/>
          <w:rtl w:val="0"/>
        </w:rPr>
        <w:t xml:space="preserve">НДР</w:t>
      </w:r>
      <w:r w:rsidDel="00000000" w:rsidR="00000000" w:rsidRPr="00000000">
        <w:rPr>
          <w:rFonts w:ascii="Times New Roman" w:cs="Times New Roman" w:eastAsia="Times New Roman" w:hAnsi="Times New Roman"/>
          <w:sz w:val="28"/>
          <w:szCs w:val="28"/>
          <w:rtl w:val="0"/>
        </w:rPr>
        <w:t xml:space="preserve">), зокрема: «Оплата праці», «Нарахування на оплату праці», «Матеріали, необхідні для виконання робіт, крім обладнання та устаткування», «Обладнання та устаткування», «Витрати на відрядження».</w:t>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До статті витрат </w:t>
      </w:r>
      <w:r w:rsidDel="00000000" w:rsidR="00000000" w:rsidRPr="00000000">
        <w:rPr>
          <w:rFonts w:ascii="Times New Roman" w:cs="Times New Roman" w:eastAsia="Times New Roman" w:hAnsi="Times New Roman"/>
          <w:b w:val="1"/>
          <w:sz w:val="28"/>
          <w:szCs w:val="28"/>
          <w:rtl w:val="0"/>
        </w:rPr>
        <w:t xml:space="preserve">«Оплата праці» </w:t>
      </w:r>
      <w:r w:rsidDel="00000000" w:rsidR="00000000" w:rsidRPr="00000000">
        <w:rPr>
          <w:rFonts w:ascii="Times New Roman" w:cs="Times New Roman" w:eastAsia="Times New Roman" w:hAnsi="Times New Roman"/>
          <w:sz w:val="28"/>
          <w:szCs w:val="28"/>
          <w:rtl w:val="0"/>
        </w:rPr>
        <w:t xml:space="preserve">входять витрати на оплату праці всіх авторів проєкту (наукового керівника та виконавців) Учасника/Переможця конкурсу, залучених до реалізації проєкту з виконання НДР на підставі трудового договору або цивільно-правової угоди.</w:t>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Оплата праці наукового керівника та виконавців проєкту визначається відповідно до діючої системи оплати праці в установі Учасника/Переможця конкурсу з урахуванням обсягів та складності виконуваних завдань, чинного законодавства України та має бути економічно обґрунтованою.</w:t>
      </w:r>
    </w:p>
    <w:p w:rsidR="00000000" w:rsidDel="00000000" w:rsidP="00000000" w:rsidRDefault="00000000" w:rsidRPr="00000000" w14:paraId="00000026">
      <w:pPr>
        <w:tabs>
          <w:tab w:val="center" w:leader="none" w:pos="1861"/>
        </w:tabs>
        <w:spacing w:after="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межах усіх проєктів НФДУ, в яких науковий керівник, кожен виконавець та допоміжний персонал беруть участь у відповідному році, їхні максимальні розміри щомісячної оплати праці не можуть перевищувати 10 мінімальних заробітних плат в Україні, установлених на початок року, в якому здійснюється відповідна виплата.</w:t>
      </w:r>
    </w:p>
    <w:p w:rsidR="00000000" w:rsidDel="00000000" w:rsidP="00000000" w:rsidRDefault="00000000" w:rsidRPr="00000000" w14:paraId="00000027">
      <w:pPr>
        <w:tabs>
          <w:tab w:val="center" w:leader="none" w:pos="1861"/>
        </w:tabs>
        <w:spacing w:after="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цьому рекомендовані максимальні розміри щомісячної оплати праці становлять не більше ніж:</w:t>
      </w:r>
    </w:p>
    <w:p w:rsidR="00000000" w:rsidDel="00000000" w:rsidP="00000000" w:rsidRDefault="00000000" w:rsidRPr="00000000" w14:paraId="00000028">
      <w:pPr>
        <w:tabs>
          <w:tab w:val="center" w:leader="none" w:pos="1861"/>
        </w:tabs>
        <w:spacing w:after="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для наукового керівника проєкту – до 10 мінімальних заробітних плат в Україні, установлених на початок року, в якому здійснюється відповідна виплата;</w:t>
      </w:r>
    </w:p>
    <w:p w:rsidR="00000000" w:rsidDel="00000000" w:rsidP="00000000" w:rsidRDefault="00000000" w:rsidRPr="00000000" w14:paraId="00000029">
      <w:pPr>
        <w:tabs>
          <w:tab w:val="center" w:leader="none" w:pos="1861"/>
        </w:tabs>
        <w:spacing w:after="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для виконавців з науковим ступенем – до 8 мінімальних заробітних плат в Україні, установлених на початок року, в якому здійснюється відповідна виплата;</w:t>
      </w:r>
    </w:p>
    <w:p w:rsidR="00000000" w:rsidDel="00000000" w:rsidP="00000000" w:rsidRDefault="00000000" w:rsidRPr="00000000" w14:paraId="0000002A">
      <w:pPr>
        <w:tabs>
          <w:tab w:val="center" w:leader="none" w:pos="1861"/>
        </w:tabs>
        <w:spacing w:after="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для виконавців без наукового ступеня – до 4 мінімальних заробітних плат в Україні, установлених на початок року, в якому здійснюється відповідна виплата;</w:t>
      </w:r>
    </w:p>
    <w:p w:rsidR="00000000" w:rsidDel="00000000" w:rsidP="00000000" w:rsidRDefault="00000000" w:rsidRPr="00000000" w14:paraId="0000002B">
      <w:pPr>
        <w:tabs>
          <w:tab w:val="center" w:leader="none" w:pos="1861"/>
        </w:tabs>
        <w:spacing w:after="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для допоміжного персоналу – до 2 мінімальних заробітних плат в Україні, установлених на початок року, в якому здійснюється відповідна виплата.</w:t>
      </w:r>
    </w:p>
    <w:p w:rsidR="00000000" w:rsidDel="00000000" w:rsidP="00000000" w:rsidRDefault="00000000" w:rsidRPr="00000000" w14:paraId="0000002C">
      <w:pPr>
        <w:tabs>
          <w:tab w:val="center" w:leader="none" w:pos="1861"/>
        </w:tabs>
        <w:spacing w:after="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визначенні розміру оплати праці наукового керівника, виконавців та допоміжного персоналу проєкту в проєкті Кошторису та Розрахунках до кошторису обов’язково надається відповідне обґрунтування розрахунків, зокрема детально розписується структура заробітної плати з прив’язкою до діючої в організації/установі системи оплати праці.</w:t>
      </w:r>
    </w:p>
    <w:p w:rsidR="00000000" w:rsidDel="00000000" w:rsidP="00000000" w:rsidRDefault="00000000" w:rsidRPr="00000000" w14:paraId="0000002D">
      <w:pPr>
        <w:tabs>
          <w:tab w:val="center" w:leader="none" w:pos="1861"/>
        </w:tabs>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проєкті Кошторису та Розрахунках до кошторису має бути вказана зайнятість у проєкті (за місяцями) наукового керівника, кожного виконавця проєкту та допоміжного персоналу (асистенти). Витрати за статтею </w:t>
      </w:r>
      <w:r w:rsidDel="00000000" w:rsidR="00000000" w:rsidRPr="00000000">
        <w:rPr>
          <w:rFonts w:ascii="Times New Roman" w:cs="Times New Roman" w:eastAsia="Times New Roman" w:hAnsi="Times New Roman"/>
          <w:b w:val="1"/>
          <w:sz w:val="28"/>
          <w:szCs w:val="28"/>
          <w:rtl w:val="0"/>
        </w:rPr>
        <w:t xml:space="preserve">«Оплата праці»</w:t>
      </w:r>
      <w:r w:rsidDel="00000000" w:rsidR="00000000" w:rsidRPr="00000000">
        <w:rPr>
          <w:rFonts w:ascii="Times New Roman" w:cs="Times New Roman" w:eastAsia="Times New Roman" w:hAnsi="Times New Roman"/>
          <w:sz w:val="28"/>
          <w:szCs w:val="28"/>
          <w:rtl w:val="0"/>
        </w:rPr>
        <w:t xml:space="preserve"> плануються враховуючи терміни виконання НДР відповідно до Календарного плану.</w:t>
      </w:r>
    </w:p>
    <w:p w:rsidR="00000000" w:rsidDel="00000000" w:rsidP="00000000" w:rsidRDefault="00000000" w:rsidRPr="00000000" w14:paraId="0000002E">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За статтею витрат </w:t>
      </w:r>
      <w:r w:rsidDel="00000000" w:rsidR="00000000" w:rsidRPr="00000000">
        <w:rPr>
          <w:rFonts w:ascii="Times New Roman" w:cs="Times New Roman" w:eastAsia="Times New Roman" w:hAnsi="Times New Roman"/>
          <w:b w:val="1"/>
          <w:sz w:val="28"/>
          <w:szCs w:val="28"/>
          <w:rtl w:val="0"/>
        </w:rPr>
        <w:t xml:space="preserve">«Нарахування на оплату праці»</w:t>
      </w:r>
      <w:r w:rsidDel="00000000" w:rsidR="00000000" w:rsidRPr="00000000">
        <w:rPr>
          <w:rFonts w:ascii="Times New Roman" w:cs="Times New Roman" w:eastAsia="Times New Roman" w:hAnsi="Times New Roman"/>
          <w:sz w:val="28"/>
          <w:szCs w:val="28"/>
          <w:rtl w:val="0"/>
        </w:rPr>
        <w:t xml:space="preserve"> нарахування здійснюється відповідно до чинного законодавства України.</w:t>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До статті витрат </w:t>
      </w:r>
      <w:r w:rsidDel="00000000" w:rsidR="00000000" w:rsidRPr="00000000">
        <w:rPr>
          <w:rFonts w:ascii="Times New Roman" w:cs="Times New Roman" w:eastAsia="Times New Roman" w:hAnsi="Times New Roman"/>
          <w:b w:val="1"/>
          <w:sz w:val="28"/>
          <w:szCs w:val="28"/>
          <w:rtl w:val="0"/>
        </w:rPr>
        <w:t xml:space="preserve">«Матеріали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необхідні для виконання робіт, крім обладнання та устаткування»</w:t>
      </w:r>
      <w:r w:rsidDel="00000000" w:rsidR="00000000" w:rsidRPr="00000000">
        <w:rPr>
          <w:rFonts w:ascii="Times New Roman" w:cs="Times New Roman" w:eastAsia="Times New Roman" w:hAnsi="Times New Roman"/>
          <w:sz w:val="28"/>
          <w:szCs w:val="28"/>
          <w:rtl w:val="0"/>
        </w:rPr>
        <w:t xml:space="preserve"> належать витрати на придбання матеріалів, предметів, дрібних пристроїв, інструментів тощо, які застосовуються для виконання НДР та не беруться на облік як основні засоби, зокрема, витрати на основні та допоміжні матеріали, інструменти, пристрої та інші засоби і предмети праці, які необхідні для проведення НДР, а також комплектуючі вироби. </w:t>
      </w:r>
      <w:r w:rsidDel="00000000" w:rsidR="00000000" w:rsidRPr="00000000">
        <w:rPr>
          <w:rFonts w:ascii="Times New Roman" w:cs="Times New Roman" w:eastAsia="Times New Roman" w:hAnsi="Times New Roman"/>
          <w:sz w:val="28"/>
          <w:szCs w:val="28"/>
          <w:rtl w:val="0"/>
        </w:rPr>
        <w:t xml:space="preserve">Не допускається планування витрат на придбання, модернізацію, дообладнання персональних комп’ютерів, ноутбуків, принтерів, сканерів, іншої оргтехніки, а також інструментів, пристроїв, матеріалів, які не задіяні безпосередньо у виконанні наукових завдань Проєкту (канцтовари, картриджі, накопичувачі тощо).</w:t>
      </w:r>
    </w:p>
    <w:p w:rsidR="00000000" w:rsidDel="00000000" w:rsidP="00000000" w:rsidRDefault="00000000" w:rsidRPr="00000000" w14:paraId="00000030">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плануванні витрат за статтею </w:t>
      </w:r>
      <w:r w:rsidDel="00000000" w:rsidR="00000000" w:rsidRPr="00000000">
        <w:rPr>
          <w:rFonts w:ascii="Times New Roman" w:cs="Times New Roman" w:eastAsia="Times New Roman" w:hAnsi="Times New Roman"/>
          <w:b w:val="1"/>
          <w:sz w:val="28"/>
          <w:szCs w:val="28"/>
          <w:rtl w:val="0"/>
        </w:rPr>
        <w:t xml:space="preserve">«Матеріали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необхідні для виконання робіт, крім обладнання та устаткування»</w:t>
      </w:r>
      <w:r w:rsidDel="00000000" w:rsidR="00000000" w:rsidRPr="00000000">
        <w:rPr>
          <w:rFonts w:ascii="Times New Roman" w:cs="Times New Roman" w:eastAsia="Times New Roman" w:hAnsi="Times New Roman"/>
          <w:sz w:val="28"/>
          <w:szCs w:val="28"/>
          <w:rtl w:val="0"/>
        </w:rPr>
        <w:t xml:space="preserve"> Учасником/Переможцем конкурсу під час розрахунку Кошторисної вартості проєкту та формування проєкту Кошторису враховуються норми витрат матеріалів відповідно до паспортних даних обладнання, устаткування, лабораторних приладів тощо.</w:t>
      </w:r>
    </w:p>
    <w:p w:rsidR="00000000" w:rsidDel="00000000" w:rsidP="00000000" w:rsidRDefault="00000000" w:rsidRPr="00000000" w14:paraId="00000031">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До статті витрат «</w:t>
      </w:r>
      <w:r w:rsidDel="00000000" w:rsidR="00000000" w:rsidRPr="00000000">
        <w:rPr>
          <w:rFonts w:ascii="Times New Roman" w:cs="Times New Roman" w:eastAsia="Times New Roman" w:hAnsi="Times New Roman"/>
          <w:b w:val="1"/>
          <w:sz w:val="28"/>
          <w:szCs w:val="28"/>
          <w:rtl w:val="0"/>
        </w:rPr>
        <w:t xml:space="preserve">Обладнання та устаткування»</w:t>
      </w:r>
      <w:r w:rsidDel="00000000" w:rsidR="00000000" w:rsidRPr="00000000">
        <w:rPr>
          <w:rFonts w:ascii="Times New Roman" w:cs="Times New Roman" w:eastAsia="Times New Roman" w:hAnsi="Times New Roman"/>
          <w:sz w:val="28"/>
          <w:szCs w:val="28"/>
          <w:rtl w:val="0"/>
        </w:rPr>
        <w:t xml:space="preserve"> належать витрати на придбання необхідного обладнання і предметів довгострокового користування для використання їх в межах реалізації проєкту, а саме: апаратів, установок, верстатів, пристроїв, інструментів, приладів, механізмів, іншого обладнання та устаткування, необхідного для проведення НДР із зазначенням відповідних технічних характеристик.</w:t>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Учасники/Переможці конкурсу під час обґрунтування необхідності придбання обладнання та устаткування за рахунок грантової підтримки, а також напрямів його використання після завершення реалізації проєкту, наводять:</w:t>
      </w:r>
    </w:p>
    <w:p w:rsidR="00000000" w:rsidDel="00000000" w:rsidP="00000000" w:rsidRDefault="00000000" w:rsidRPr="00000000" w14:paraId="00000033">
      <w:pPr>
        <w:numPr>
          <w:ilvl w:val="0"/>
          <w:numId w:val="1"/>
        </w:numPr>
        <w:spacing w:after="0" w:line="276" w:lineRule="auto"/>
        <w:ind w:left="0" w:firstLine="393"/>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детальне обґрунтування доцільності придбання такого обладнання/устаткування виходячи з потреб наукового експерименту, технічного оснащення лабораторії тощо;</w:t>
      </w:r>
      <w:r w:rsidDel="00000000" w:rsidR="00000000" w:rsidRPr="00000000">
        <w:rPr>
          <w:rtl w:val="0"/>
        </w:rPr>
      </w:r>
    </w:p>
    <w:p w:rsidR="00000000" w:rsidDel="00000000" w:rsidP="00000000" w:rsidRDefault="00000000" w:rsidRPr="00000000" w14:paraId="00000034">
      <w:pPr>
        <w:numPr>
          <w:ilvl w:val="0"/>
          <w:numId w:val="1"/>
        </w:numPr>
        <w:spacing w:after="0" w:line="276" w:lineRule="auto"/>
        <w:ind w:left="0" w:firstLine="393"/>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гарантування відсутності такого обладнання/устаткування на балансі установи Учасника/Переможця конкурсу та неможливості використання необхідного обладнання в умовах роботи центрів колективного користування науковим обладнанням;</w:t>
      </w:r>
      <w:r w:rsidDel="00000000" w:rsidR="00000000" w:rsidRPr="00000000">
        <w:rPr>
          <w:rtl w:val="0"/>
        </w:rPr>
      </w:r>
    </w:p>
    <w:p w:rsidR="00000000" w:rsidDel="00000000" w:rsidP="00000000" w:rsidRDefault="00000000" w:rsidRPr="00000000" w14:paraId="00000035">
      <w:pPr>
        <w:numPr>
          <w:ilvl w:val="0"/>
          <w:numId w:val="1"/>
        </w:numPr>
        <w:spacing w:after="0" w:line="276" w:lineRule="auto"/>
        <w:ind w:left="0" w:firstLine="393"/>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детальний опис технічних можливостей щодо установки, підключення і введення в експлуатацію такого обладнання та устаткування на науковій базі організації Учасника/Переможця конкурсу.</w:t>
      </w: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допускається планування витрат на придбання, модернізацію, дообладнання персональних комп’ютерів, ноутбуків, принтерів, сканерів, іншої оргтехніки, меблів, а також обладнання та устаткування, яке не задіяне безпосередньо у виконанні наукових завдань Проєкту.</w:t>
      </w:r>
    </w:p>
    <w:p w:rsidR="00000000" w:rsidDel="00000000" w:rsidP="00000000" w:rsidRDefault="00000000" w:rsidRPr="00000000" w14:paraId="00000037">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Забороняється планувати придбання обладнання та устаткування, виробником або постачальником якого є підприємство/організація, внесена до санкційних списків відповідно до рішення Ради національної безпеки і оборони України. </w:t>
      </w:r>
    </w:p>
    <w:p w:rsidR="00000000" w:rsidDel="00000000" w:rsidP="00000000" w:rsidRDefault="00000000" w:rsidRPr="00000000" w14:paraId="00000038">
      <w:pPr>
        <w:tabs>
          <w:tab w:val="center" w:leader="none" w:pos="1861"/>
        </w:tabs>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 До статті витрат «</w:t>
      </w:r>
      <w:r w:rsidDel="00000000" w:rsidR="00000000" w:rsidRPr="00000000">
        <w:rPr>
          <w:rFonts w:ascii="Times New Roman" w:cs="Times New Roman" w:eastAsia="Times New Roman" w:hAnsi="Times New Roman"/>
          <w:b w:val="1"/>
          <w:sz w:val="28"/>
          <w:szCs w:val="28"/>
          <w:rtl w:val="0"/>
        </w:rPr>
        <w:t xml:space="preserve">Витрати на відрядження» </w:t>
      </w:r>
      <w:r w:rsidDel="00000000" w:rsidR="00000000" w:rsidRPr="00000000">
        <w:rPr>
          <w:rFonts w:ascii="Times New Roman" w:cs="Times New Roman" w:eastAsia="Times New Roman" w:hAnsi="Times New Roman"/>
          <w:sz w:val="28"/>
          <w:szCs w:val="28"/>
          <w:rtl w:val="0"/>
        </w:rPr>
        <w:t xml:space="preserve">належать витрати на відрядження наукового керівника та виконавців проєкту.</w:t>
      </w:r>
    </w:p>
    <w:p w:rsidR="00000000" w:rsidDel="00000000" w:rsidP="00000000" w:rsidRDefault="00000000" w:rsidRPr="00000000" w14:paraId="00000039">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Планування витрат за статтею витрат «</w:t>
      </w:r>
      <w:r w:rsidDel="00000000" w:rsidR="00000000" w:rsidRPr="00000000">
        <w:rPr>
          <w:rFonts w:ascii="Times New Roman" w:cs="Times New Roman" w:eastAsia="Times New Roman" w:hAnsi="Times New Roman"/>
          <w:b w:val="1"/>
          <w:sz w:val="28"/>
          <w:szCs w:val="28"/>
          <w:rtl w:val="0"/>
        </w:rPr>
        <w:t xml:space="preserve">Витрати на відрядження»</w:t>
      </w:r>
      <w:r w:rsidDel="00000000" w:rsidR="00000000" w:rsidRPr="00000000">
        <w:rPr>
          <w:rFonts w:ascii="Times New Roman" w:cs="Times New Roman" w:eastAsia="Times New Roman" w:hAnsi="Times New Roman"/>
          <w:sz w:val="28"/>
          <w:szCs w:val="28"/>
          <w:rtl w:val="0"/>
        </w:rPr>
        <w:t xml:space="preserve"> реалізуються відповідно до постанови Кабінету Міністрів України «Про суми та склад витрат на відрядження державних службовців, а також інших осіб, що направляються у відрядження підприємствами, установами та організаціями, які повністю або частково утримуються (фінансуються) за рахунок бюджетних коштів» від 02.02.2011 р. № 98 (зі змінами) та інших нормативно-правових актів, що регулюють витрати на відрядження. </w:t>
      </w:r>
      <w:r w:rsidDel="00000000" w:rsidR="00000000" w:rsidRPr="00000000">
        <w:rPr>
          <w:rtl w:val="0"/>
        </w:rPr>
      </w:r>
    </w:p>
    <w:p w:rsidR="00000000" w:rsidDel="00000000" w:rsidP="00000000" w:rsidRDefault="00000000" w:rsidRPr="00000000" w14:paraId="0000003A">
      <w:pPr>
        <w:tabs>
          <w:tab w:val="center" w:leader="none" w:pos="1861"/>
        </w:tabs>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w:t>
      </w:r>
      <w:r w:rsidDel="00000000" w:rsidR="00000000" w:rsidRPr="00000000">
        <w:rPr>
          <w:rFonts w:ascii="Times New Roman" w:cs="Times New Roman" w:eastAsia="Times New Roman" w:hAnsi="Times New Roman"/>
          <w:b w:val="1"/>
          <w:sz w:val="28"/>
          <w:szCs w:val="28"/>
          <w:rtl w:val="0"/>
        </w:rPr>
        <w:t xml:space="preserve"> Непрямі витрати </w:t>
      </w:r>
      <w:r w:rsidDel="00000000" w:rsidR="00000000" w:rsidRPr="00000000">
        <w:rPr>
          <w:rFonts w:ascii="Times New Roman" w:cs="Times New Roman" w:eastAsia="Times New Roman" w:hAnsi="Times New Roman"/>
          <w:sz w:val="28"/>
          <w:szCs w:val="28"/>
          <w:rtl w:val="0"/>
        </w:rPr>
        <w:t xml:space="preserve">(за необхідності)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витрати, які прямо не пов’язані з проведенням НДР, але є необхідними для забезпечення повноцінного його виконання, і не можуть перевищувати 15% від статті витрат «Прямі витрати» в межах кожного етапу виконання проєкту. До таких витрат можуть включатись:</w:t>
      </w:r>
    </w:p>
    <w:p w:rsidR="00000000" w:rsidDel="00000000" w:rsidP="00000000" w:rsidRDefault="00000000" w:rsidRPr="00000000" w14:paraId="0000003B">
      <w:pPr>
        <w:numPr>
          <w:ilvl w:val="0"/>
          <w:numId w:val="2"/>
        </w:numPr>
        <w:spacing w:after="0" w:line="276" w:lineRule="auto"/>
        <w:ind w:left="0" w:firstLine="393"/>
        <w:jc w:val="both"/>
        <w:rPr/>
      </w:pPr>
      <w:r w:rsidDel="00000000" w:rsidR="00000000" w:rsidRPr="00000000">
        <w:rPr>
          <w:rFonts w:ascii="Times New Roman" w:cs="Times New Roman" w:eastAsia="Times New Roman" w:hAnsi="Times New Roman"/>
          <w:sz w:val="28"/>
          <w:szCs w:val="28"/>
          <w:rtl w:val="0"/>
        </w:rPr>
        <w:t xml:space="preserve">оплата комунальних витрат, пов’язаних з виконанням НДР;</w:t>
      </w:r>
      <w:r w:rsidDel="00000000" w:rsidR="00000000" w:rsidRPr="00000000">
        <w:rPr>
          <w:rtl w:val="0"/>
        </w:rPr>
      </w:r>
    </w:p>
    <w:p w:rsidR="00000000" w:rsidDel="00000000" w:rsidP="00000000" w:rsidRDefault="00000000" w:rsidRPr="00000000" w14:paraId="0000003C">
      <w:pPr>
        <w:numPr>
          <w:ilvl w:val="0"/>
          <w:numId w:val="2"/>
        </w:numPr>
        <w:spacing w:after="0" w:line="276" w:lineRule="auto"/>
        <w:ind w:left="0" w:firstLine="3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оплата праці та нарахування на оплату праці персоналу, зокрема, працівників фінансових і юридичних служб тощо, які будуть задіяні в обслуговуванні договору про виконання наукового дослідження і розробки за рахунок грантової підтримки. Такі витрати не можуть перевищувати 5% від статті витрат «Прямі витрати» в межах кожного етапу виконання проєкту.</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Витрати на оплату теплопостачання, електроенергії, водопостачання, водовідведення, природного газу, інших енергоносіїв та інших комунальних послуг плануються виключно у випадку їх виникнення у зв’язку із виконанням завдань проєкту,</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 врахуванням діючих цін та тарифів для даної установи/організації.</w:t>
      </w:r>
    </w:p>
    <w:p w:rsidR="00000000" w:rsidDel="00000000" w:rsidP="00000000" w:rsidRDefault="00000000" w:rsidRPr="00000000" w14:paraId="0000003D">
      <w:pPr>
        <w:tabs>
          <w:tab w:val="center" w:leader="none" w:pos="3803"/>
        </w:tabs>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Витрати на утримання, ремонт, страхування, операційну оренду приміщень, інших необоротних активів загальновиробничого призначення не можуть плануватись і закладатись до проєкту Кошторису.</w:t>
      </w:r>
    </w:p>
    <w:p w:rsidR="00000000" w:rsidDel="00000000" w:rsidP="00000000" w:rsidRDefault="00000000" w:rsidRPr="00000000" w14:paraId="0000003E">
      <w:pPr>
        <w:tabs>
          <w:tab w:val="center" w:leader="none" w:pos="1861"/>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Оплата праці та нарахування на оплату праці персоналу, зокрема, працівників фінансових і</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юридичних служб тощо, які будуть задіяні в обслуговуванні договору, здійснюється виключно для працівників Переможця конкурсу.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Інші витрати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необхідності) – витрати, які не знайшли відображення у вищезазначених статтях витрат, але є необхідними для проведення дослідження. </w:t>
      </w:r>
      <w:r w:rsidDel="00000000" w:rsidR="00000000" w:rsidRPr="00000000">
        <w:rPr>
          <w:rtl w:val="0"/>
        </w:rPr>
      </w:r>
    </w:p>
    <w:p w:rsidR="00000000" w:rsidDel="00000000" w:rsidP="00000000" w:rsidRDefault="00000000" w:rsidRPr="00000000" w14:paraId="00000040">
      <w:pPr>
        <w:tabs>
          <w:tab w:val="center" w:leader="none" w:pos="1861"/>
        </w:tabs>
        <w:spacing w:after="0" w:line="276" w:lineRule="auto"/>
        <w:jc w:val="both"/>
        <w:rPr>
          <w:rFonts w:ascii="Times New Roman" w:cs="Times New Roman" w:eastAsia="Times New Roman" w:hAnsi="Times New Roman"/>
          <w:strike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ymbo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trike w:val="0"/>
        <w:color w:val="000000"/>
        <w:sz w:val="25"/>
        <w:szCs w:val="25"/>
        <w:u w:val="none"/>
        <w:shd w:fill="auto" w:val="clear"/>
        <w:vertAlign w:val="baseline"/>
      </w:rPr>
    </w:lvl>
    <w:lvl w:ilvl="1">
      <w:start w:val="1"/>
      <w:numFmt w:val="bullet"/>
      <w:lvlText w:val="o"/>
      <w:lvlJc w:val="left"/>
      <w:pPr>
        <w:ind w:left="1080" w:hanging="1080"/>
      </w:pPr>
      <w:rPr>
        <w:rFonts w:ascii="Times New Roman" w:cs="Times New Roman" w:eastAsia="Times New Roman" w:hAnsi="Times New Roman"/>
        <w:b w:val="0"/>
        <w:i w:val="0"/>
        <w:strike w:val="0"/>
        <w:color w:val="000000"/>
        <w:sz w:val="25"/>
        <w:szCs w:val="25"/>
        <w:u w:val="none"/>
        <w:shd w:fill="auto" w:val="clear"/>
        <w:vertAlign w:val="baseline"/>
      </w:rPr>
    </w:lvl>
    <w:lvl w:ilvl="2">
      <w:start w:val="1"/>
      <w:numFmt w:val="bullet"/>
      <w:lvlText w:val="▪"/>
      <w:lvlJc w:val="left"/>
      <w:pPr>
        <w:ind w:left="1800" w:hanging="1800"/>
      </w:pPr>
      <w:rPr>
        <w:rFonts w:ascii="Times New Roman" w:cs="Times New Roman" w:eastAsia="Times New Roman" w:hAnsi="Times New Roman"/>
        <w:b w:val="0"/>
        <w:i w:val="0"/>
        <w:strike w:val="0"/>
        <w:color w:val="000000"/>
        <w:sz w:val="25"/>
        <w:szCs w:val="25"/>
        <w:u w:val="none"/>
        <w:shd w:fill="auto" w:val="clear"/>
        <w:vertAlign w:val="baseline"/>
      </w:rPr>
    </w:lvl>
    <w:lvl w:ilvl="3">
      <w:start w:val="1"/>
      <w:numFmt w:val="bullet"/>
      <w:lvlText w:val="•"/>
      <w:lvlJc w:val="left"/>
      <w:pPr>
        <w:ind w:left="2520" w:hanging="2520"/>
      </w:pPr>
      <w:rPr>
        <w:rFonts w:ascii="Times New Roman" w:cs="Times New Roman" w:eastAsia="Times New Roman" w:hAnsi="Times New Roman"/>
        <w:b w:val="0"/>
        <w:i w:val="0"/>
        <w:strike w:val="0"/>
        <w:color w:val="000000"/>
        <w:sz w:val="25"/>
        <w:szCs w:val="25"/>
        <w:u w:val="none"/>
        <w:shd w:fill="auto" w:val="clear"/>
        <w:vertAlign w:val="baseline"/>
      </w:rPr>
    </w:lvl>
    <w:lvl w:ilvl="4">
      <w:start w:val="1"/>
      <w:numFmt w:val="bullet"/>
      <w:lvlText w:val="o"/>
      <w:lvlJc w:val="left"/>
      <w:pPr>
        <w:ind w:left="3240" w:hanging="3240"/>
      </w:pPr>
      <w:rPr>
        <w:rFonts w:ascii="Times New Roman" w:cs="Times New Roman" w:eastAsia="Times New Roman" w:hAnsi="Times New Roman"/>
        <w:b w:val="0"/>
        <w:i w:val="0"/>
        <w:strike w:val="0"/>
        <w:color w:val="000000"/>
        <w:sz w:val="25"/>
        <w:szCs w:val="25"/>
        <w:u w:val="none"/>
        <w:shd w:fill="auto" w:val="clear"/>
        <w:vertAlign w:val="baseline"/>
      </w:rPr>
    </w:lvl>
    <w:lvl w:ilvl="5">
      <w:start w:val="1"/>
      <w:numFmt w:val="bullet"/>
      <w:lvlText w:val="▪"/>
      <w:lvlJc w:val="left"/>
      <w:pPr>
        <w:ind w:left="3960" w:hanging="3960"/>
      </w:pPr>
      <w:rPr>
        <w:rFonts w:ascii="Times New Roman" w:cs="Times New Roman" w:eastAsia="Times New Roman" w:hAnsi="Times New Roman"/>
        <w:b w:val="0"/>
        <w:i w:val="0"/>
        <w:strike w:val="0"/>
        <w:color w:val="000000"/>
        <w:sz w:val="25"/>
        <w:szCs w:val="25"/>
        <w:u w:val="none"/>
        <w:shd w:fill="auto" w:val="clear"/>
        <w:vertAlign w:val="baseline"/>
      </w:rPr>
    </w:lvl>
    <w:lvl w:ilvl="6">
      <w:start w:val="1"/>
      <w:numFmt w:val="bullet"/>
      <w:lvlText w:val="•"/>
      <w:lvlJc w:val="left"/>
      <w:pPr>
        <w:ind w:left="4680" w:hanging="4680"/>
      </w:pPr>
      <w:rPr>
        <w:rFonts w:ascii="Times New Roman" w:cs="Times New Roman" w:eastAsia="Times New Roman" w:hAnsi="Times New Roman"/>
        <w:b w:val="0"/>
        <w:i w:val="0"/>
        <w:strike w:val="0"/>
        <w:color w:val="000000"/>
        <w:sz w:val="25"/>
        <w:szCs w:val="25"/>
        <w:u w:val="none"/>
        <w:shd w:fill="auto" w:val="clear"/>
        <w:vertAlign w:val="baseline"/>
      </w:rPr>
    </w:lvl>
    <w:lvl w:ilvl="7">
      <w:start w:val="1"/>
      <w:numFmt w:val="bullet"/>
      <w:lvlText w:val="o"/>
      <w:lvlJc w:val="left"/>
      <w:pPr>
        <w:ind w:left="5400" w:hanging="5400"/>
      </w:pPr>
      <w:rPr>
        <w:rFonts w:ascii="Times New Roman" w:cs="Times New Roman" w:eastAsia="Times New Roman" w:hAnsi="Times New Roman"/>
        <w:b w:val="0"/>
        <w:i w:val="0"/>
        <w:strike w:val="0"/>
        <w:color w:val="000000"/>
        <w:sz w:val="25"/>
        <w:szCs w:val="25"/>
        <w:u w:val="none"/>
        <w:shd w:fill="auto" w:val="clear"/>
        <w:vertAlign w:val="baseline"/>
      </w:rPr>
    </w:lvl>
    <w:lvl w:ilvl="8">
      <w:start w:val="1"/>
      <w:numFmt w:val="bullet"/>
      <w:lvlText w:val="▪"/>
      <w:lvlJc w:val="left"/>
      <w:pPr>
        <w:ind w:left="6120" w:hanging="6120"/>
      </w:pPr>
      <w:rPr>
        <w:rFonts w:ascii="Times New Roman" w:cs="Times New Roman" w:eastAsia="Times New Roman" w:hAnsi="Times New Roman"/>
        <w:b w:val="0"/>
        <w:i w:val="0"/>
        <w:strike w:val="0"/>
        <w:color w:val="000000"/>
        <w:sz w:val="25"/>
        <w:szCs w:val="25"/>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blTwX3GVtSBqmcFZu1fmB5WKw==">CgMxLjA4AHIhMThBZEhVR0Eyak80U28wa2dMeEEtOWV4aW9YdWlnS3dP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