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F7" w:rsidRDefault="00B13D2C" w:rsidP="00B13D2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Вплив перебудови залізо-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вмісних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дефектів на фотоелектричні властивості сонячних кремнієвих елементів</w:t>
      </w:r>
    </w:p>
    <w:p w:rsidR="00B13D2C" w:rsidRDefault="00B13D2C" w:rsidP="00B13D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Оліх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Олег Ярославович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Завгородній Олексій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Володомирович</w:t>
      </w:r>
      <w:proofErr w:type="spellEnd"/>
    </w:p>
    <w:p w:rsidR="00B13D2C" w:rsidRDefault="00B13D2C" w:rsidP="00B13D2C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Київський національний університет мені Тараса Шевченка</w:t>
      </w:r>
    </w:p>
    <w:p w:rsidR="00B13D2C" w:rsidRDefault="00B13D2C" w:rsidP="00B13D2C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hyperlink r:id="rId5" w:history="1"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en-US"/>
          </w:rPr>
          <w:t>olikh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uk-UA"/>
          </w:rPr>
          <w:t>@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en-US"/>
          </w:rPr>
          <w:t>univ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uk-UA"/>
          </w:rPr>
          <w:t>.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en-US"/>
          </w:rPr>
          <w:t>kiev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uk-UA"/>
          </w:rPr>
          <w:t>.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en-US"/>
          </w:rPr>
          <w:t>ua</w:t>
        </w:r>
      </w:hyperlink>
      <w:r w:rsidRPr="00B13D2C">
        <w:rPr>
          <w:rFonts w:ascii="Times New Roman" w:hAnsi="Times New Roman" w:cs="Times New Roman"/>
          <w:i/>
          <w:sz w:val="24"/>
          <w:szCs w:val="24"/>
          <w:lang w:val="uk-UA"/>
        </w:rPr>
        <w:t xml:space="preserve">, </w:t>
      </w:r>
      <w:hyperlink r:id="rId6" w:history="1"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en-US"/>
          </w:rPr>
          <w:t>nevermor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uk-UA"/>
          </w:rPr>
          <w:t>464@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en-US"/>
          </w:rPr>
          <w:t>gmail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uk-UA"/>
          </w:rPr>
          <w:t>.</w:t>
        </w:r>
        <w:r w:rsidRPr="00B13D2C">
          <w:rPr>
            <w:rStyle w:val="a3"/>
            <w:rFonts w:ascii="Times New Roman" w:hAnsi="Times New Roman" w:cs="Times New Roman"/>
            <w:i/>
            <w:color w:val="auto"/>
            <w:sz w:val="24"/>
            <w:szCs w:val="24"/>
            <w:u w:val="none"/>
            <w:lang w:val="en-US"/>
          </w:rPr>
          <w:t>com</w:t>
        </w:r>
      </w:hyperlink>
      <w:r w:rsidRPr="00B13D2C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</w:p>
    <w:p w:rsidR="009F21A3" w:rsidRPr="00826865" w:rsidRDefault="00D94D40" w:rsidP="00826865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9F21A3" w:rsidRPr="002F61F0">
        <w:rPr>
          <w:rFonts w:ascii="Times New Roman" w:hAnsi="Times New Roman"/>
          <w:sz w:val="28"/>
          <w:szCs w:val="28"/>
          <w:lang w:val="uk-UA"/>
        </w:rPr>
        <w:t>ослідження впливу перебудови залізо-</w:t>
      </w:r>
      <w:proofErr w:type="spellStart"/>
      <w:r w:rsidR="009F21A3" w:rsidRPr="002F61F0">
        <w:rPr>
          <w:rFonts w:ascii="Times New Roman" w:hAnsi="Times New Roman"/>
          <w:sz w:val="28"/>
          <w:szCs w:val="28"/>
          <w:lang w:val="uk-UA"/>
        </w:rPr>
        <w:t>вмісних</w:t>
      </w:r>
      <w:proofErr w:type="spellEnd"/>
      <w:r w:rsidR="009F21A3" w:rsidRPr="002F61F0">
        <w:rPr>
          <w:rFonts w:ascii="Times New Roman" w:hAnsi="Times New Roman"/>
          <w:sz w:val="28"/>
          <w:szCs w:val="28"/>
          <w:lang w:val="uk-UA"/>
        </w:rPr>
        <w:t xml:space="preserve"> дефектів на фотоелектричні властивості кремнієвих СЕ є дуже важливим</w:t>
      </w:r>
      <w:r w:rsidR="008154CF">
        <w:rPr>
          <w:rFonts w:ascii="Times New Roman" w:hAnsi="Times New Roman"/>
          <w:sz w:val="28"/>
          <w:szCs w:val="28"/>
          <w:lang w:val="uk-UA"/>
        </w:rPr>
        <w:t xml:space="preserve"> для покращення їх ефективності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154CF">
        <w:rPr>
          <w:rFonts w:ascii="Times New Roman" w:hAnsi="Times New Roman"/>
          <w:sz w:val="28"/>
          <w:szCs w:val="28"/>
          <w:lang w:val="uk-UA"/>
        </w:rPr>
        <w:t>В цій роботі, н</w:t>
      </w:r>
      <w:r w:rsidR="009F21A3" w:rsidRPr="002F61F0">
        <w:rPr>
          <w:rFonts w:ascii="Times New Roman" w:hAnsi="Times New Roman"/>
          <w:sz w:val="28"/>
          <w:szCs w:val="28"/>
          <w:lang w:val="uk-UA"/>
        </w:rPr>
        <w:t xml:space="preserve">асамперед, </w:t>
      </w:r>
      <w:proofErr w:type="spellStart"/>
      <w:r w:rsidR="009F21A3">
        <w:rPr>
          <w:rFonts w:ascii="Times New Roman" w:hAnsi="Times New Roman"/>
          <w:sz w:val="28"/>
          <w:szCs w:val="28"/>
        </w:rPr>
        <w:t>визначали</w:t>
      </w:r>
      <w:proofErr w:type="spellEnd"/>
      <w:r w:rsidR="009F21A3">
        <w:rPr>
          <w:rFonts w:ascii="Times New Roman" w:hAnsi="Times New Roman"/>
          <w:sz w:val="28"/>
          <w:szCs w:val="28"/>
        </w:rPr>
        <w:t xml:space="preserve"> </w:t>
      </w:r>
      <w:r w:rsidR="009F21A3" w:rsidRPr="002F61F0">
        <w:rPr>
          <w:rFonts w:ascii="Times New Roman" w:hAnsi="Times New Roman"/>
          <w:sz w:val="28"/>
          <w:szCs w:val="28"/>
          <w:lang w:val="uk-UA"/>
        </w:rPr>
        <w:t>які параметри майже не змінюються при перебудові залізо-</w:t>
      </w:r>
      <w:proofErr w:type="spellStart"/>
      <w:r w:rsidR="009F21A3" w:rsidRPr="002F61F0">
        <w:rPr>
          <w:rFonts w:ascii="Times New Roman" w:hAnsi="Times New Roman"/>
          <w:sz w:val="28"/>
          <w:szCs w:val="28"/>
          <w:lang w:val="uk-UA"/>
        </w:rPr>
        <w:t>вмісних</w:t>
      </w:r>
      <w:proofErr w:type="spellEnd"/>
      <w:r w:rsidR="009F21A3" w:rsidRPr="002F61F0">
        <w:rPr>
          <w:rFonts w:ascii="Times New Roman" w:hAnsi="Times New Roman"/>
          <w:sz w:val="28"/>
          <w:szCs w:val="28"/>
          <w:lang w:val="uk-UA"/>
        </w:rPr>
        <w:t xml:space="preserve"> дефектів, щоб в подальших дослідженнях не використовувати їх у наборі даних для оцінки концентрації </w:t>
      </w:r>
      <w:proofErr w:type="spellStart"/>
      <w:r w:rsidR="009F21A3" w:rsidRPr="002F61F0">
        <w:rPr>
          <w:rFonts w:ascii="Times New Roman" w:hAnsi="Times New Roman"/>
          <w:sz w:val="28"/>
          <w:szCs w:val="28"/>
          <w:lang w:val="uk-UA"/>
        </w:rPr>
        <w:t>домішкового</w:t>
      </w:r>
      <w:proofErr w:type="spellEnd"/>
      <w:r w:rsidR="009F21A3" w:rsidRPr="002F61F0">
        <w:rPr>
          <w:rFonts w:ascii="Times New Roman" w:hAnsi="Times New Roman"/>
          <w:sz w:val="28"/>
          <w:szCs w:val="28"/>
          <w:lang w:val="uk-UA"/>
        </w:rPr>
        <w:t xml:space="preserve"> заліза методом глибоких </w:t>
      </w:r>
      <w:proofErr w:type="spellStart"/>
      <w:r w:rsidR="009F21A3" w:rsidRPr="002F61F0">
        <w:rPr>
          <w:rFonts w:ascii="Times New Roman" w:hAnsi="Times New Roman"/>
          <w:sz w:val="28"/>
          <w:szCs w:val="28"/>
          <w:lang w:val="uk-UA"/>
        </w:rPr>
        <w:t>нейроних</w:t>
      </w:r>
      <w:proofErr w:type="spellEnd"/>
      <w:r w:rsidR="009F21A3" w:rsidRPr="002F61F0">
        <w:rPr>
          <w:rFonts w:ascii="Times New Roman" w:hAnsi="Times New Roman"/>
          <w:sz w:val="28"/>
          <w:szCs w:val="28"/>
          <w:lang w:val="uk-UA"/>
        </w:rPr>
        <w:t xml:space="preserve"> мереж</w:t>
      </w:r>
      <w:r w:rsidR="008154CF">
        <w:rPr>
          <w:rFonts w:ascii="Times New Roman" w:hAnsi="Times New Roman"/>
          <w:sz w:val="28"/>
          <w:szCs w:val="28"/>
          <w:lang w:val="uk-UA"/>
        </w:rPr>
        <w:t>.</w:t>
      </w:r>
    </w:p>
    <w:p w:rsidR="009F21A3" w:rsidRPr="00D870D1" w:rsidRDefault="009F21A3" w:rsidP="009F21A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154CF">
        <w:rPr>
          <w:rFonts w:ascii="Times New Roman" w:hAnsi="Times New Roman"/>
          <w:sz w:val="28"/>
          <w:lang w:val="uk-UA"/>
        </w:rPr>
        <w:t xml:space="preserve">Розрахунки проводилися для системи, яка складалася з кристалічної кремнієвої </w:t>
      </w:r>
      <w:r>
        <w:rPr>
          <w:rFonts w:ascii="Times New Roman" w:hAnsi="Times New Roman"/>
          <w:sz w:val="28"/>
          <w:lang w:val="en-US"/>
        </w:rPr>
        <w:t>n</w:t>
      </w:r>
      <w:r w:rsidRPr="00D870D1">
        <w:rPr>
          <w:rFonts w:ascii="Times New Roman" w:hAnsi="Times New Roman"/>
          <w:sz w:val="28"/>
          <w:vertAlign w:val="superscript"/>
          <w:lang w:val="uk-UA"/>
        </w:rPr>
        <w:t>+</w:t>
      </w:r>
      <w:r w:rsidRPr="00D870D1">
        <w:rPr>
          <w:rFonts w:ascii="Times New Roman" w:hAnsi="Times New Roman"/>
          <w:sz w:val="28"/>
          <w:lang w:val="uk-UA"/>
        </w:rPr>
        <w:t>-</w:t>
      </w:r>
      <w:r>
        <w:rPr>
          <w:rFonts w:ascii="Times New Roman" w:hAnsi="Times New Roman"/>
          <w:sz w:val="28"/>
          <w:lang w:val="en-US"/>
        </w:rPr>
        <w:t>p</w:t>
      </w:r>
      <w:r w:rsidRPr="00D870D1">
        <w:rPr>
          <w:rFonts w:ascii="Times New Roman" w:hAnsi="Times New Roman"/>
          <w:sz w:val="28"/>
          <w:lang w:val="uk-UA"/>
        </w:rPr>
        <w:t>-</w:t>
      </w:r>
      <w:r>
        <w:rPr>
          <w:rFonts w:ascii="Times New Roman" w:hAnsi="Times New Roman"/>
          <w:sz w:val="28"/>
          <w:lang w:val="en-US"/>
        </w:rPr>
        <w:t>p</w:t>
      </w:r>
      <w:r w:rsidRPr="00D870D1">
        <w:rPr>
          <w:rFonts w:ascii="Times New Roman" w:hAnsi="Times New Roman"/>
          <w:sz w:val="28"/>
          <w:vertAlign w:val="superscript"/>
          <w:lang w:val="uk-UA"/>
        </w:rPr>
        <w:t>+</w:t>
      </w:r>
      <w:r w:rsidRPr="008154CF">
        <w:rPr>
          <w:rFonts w:ascii="Times New Roman" w:hAnsi="Times New Roman"/>
          <w:sz w:val="28"/>
          <w:lang w:val="uk-UA"/>
        </w:rPr>
        <w:t xml:space="preserve"> структури (система з полем задньої поверхні (</w:t>
      </w:r>
      <w:r w:rsidRPr="00D870D1">
        <w:rPr>
          <w:rFonts w:ascii="Times New Roman" w:hAnsi="Times New Roman"/>
          <w:sz w:val="28"/>
        </w:rPr>
        <w:t>BSF</w:t>
      </w:r>
      <w:r w:rsidRPr="008154CF">
        <w:rPr>
          <w:rFonts w:ascii="Times New Roman" w:hAnsi="Times New Roman"/>
          <w:sz w:val="28"/>
          <w:lang w:val="uk-UA"/>
        </w:rPr>
        <w:t>)</w:t>
      </w:r>
      <w:r w:rsidRPr="00D870D1">
        <w:rPr>
          <w:rFonts w:ascii="Times New Roman" w:hAnsi="Times New Roman"/>
          <w:sz w:val="28"/>
          <w:lang w:val="uk-UA"/>
        </w:rPr>
        <w:t>)</w:t>
      </w:r>
      <w:r w:rsidRPr="008154CF">
        <w:rPr>
          <w:rFonts w:ascii="Times New Roman" w:hAnsi="Times New Roman"/>
          <w:sz w:val="28"/>
          <w:lang w:val="uk-UA"/>
        </w:rPr>
        <w:t xml:space="preserve">, що містить </w:t>
      </w:r>
      <w:proofErr w:type="spellStart"/>
      <w:r w:rsidRPr="008154CF">
        <w:rPr>
          <w:rFonts w:ascii="Times New Roman" w:hAnsi="Times New Roman"/>
          <w:sz w:val="28"/>
          <w:lang w:val="uk-UA"/>
        </w:rPr>
        <w:t>домішкове</w:t>
      </w:r>
      <w:proofErr w:type="spellEnd"/>
      <w:r w:rsidRPr="008154CF">
        <w:rPr>
          <w:rFonts w:ascii="Times New Roman" w:hAnsi="Times New Roman"/>
          <w:sz w:val="28"/>
          <w:lang w:val="uk-UA"/>
        </w:rPr>
        <w:t xml:space="preserve"> залізо</w:t>
      </w:r>
      <w:r w:rsidRPr="009F21A3">
        <w:rPr>
          <w:rFonts w:ascii="Times New Roman" w:hAnsi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</w:rPr>
        <w:t>Була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змодельована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593AC6">
        <w:rPr>
          <w:rFonts w:ascii="Times New Roman" w:hAnsi="Times New Roman" w:cs="Times New Roman"/>
          <w:sz w:val="28"/>
          <w:lang w:val="uk-UA"/>
        </w:rPr>
        <w:t xml:space="preserve">база даних в </w:t>
      </w:r>
      <w:proofErr w:type="spellStart"/>
      <w:r w:rsidRPr="00593AC6">
        <w:rPr>
          <w:rFonts w:ascii="Times New Roman" w:hAnsi="Times New Roman" w:cs="Times New Roman"/>
          <w:sz w:val="28"/>
          <w:lang w:val="uk-UA"/>
        </w:rPr>
        <w:t>прог</w:t>
      </w:r>
      <w:proofErr w:type="spellEnd"/>
      <w:r>
        <w:rPr>
          <w:rFonts w:ascii="Times New Roman" w:hAnsi="Times New Roman"/>
          <w:sz w:val="28"/>
        </w:rPr>
        <w:t xml:space="preserve">рамному </w:t>
      </w:r>
      <w:proofErr w:type="spellStart"/>
      <w:r>
        <w:rPr>
          <w:rFonts w:ascii="Times New Roman" w:hAnsi="Times New Roman"/>
          <w:sz w:val="28"/>
        </w:rPr>
        <w:t>пакеті</w:t>
      </w:r>
      <w:proofErr w:type="spellEnd"/>
      <w:r>
        <w:rPr>
          <w:rFonts w:ascii="Times New Roman" w:hAnsi="Times New Roman"/>
          <w:sz w:val="28"/>
        </w:rPr>
        <w:t xml:space="preserve"> SCAPS. В</w:t>
      </w:r>
      <w:r w:rsidRPr="00593AC6">
        <w:rPr>
          <w:rFonts w:ascii="Times New Roman" w:hAnsi="Times New Roman" w:cs="Times New Roman"/>
          <w:sz w:val="28"/>
          <w:lang w:val="uk-UA"/>
        </w:rPr>
        <w:t xml:space="preserve"> ній були враховані коефіцієнти поглинання та зна</w:t>
      </w:r>
      <w:r>
        <w:rPr>
          <w:rFonts w:ascii="Times New Roman" w:hAnsi="Times New Roman" w:cs="Times New Roman"/>
          <w:sz w:val="28"/>
          <w:lang w:val="uk-UA"/>
        </w:rPr>
        <w:t xml:space="preserve">чення власної рекомбінації. </w:t>
      </w:r>
      <w:r w:rsidRPr="009F21A3">
        <w:rPr>
          <w:rFonts w:ascii="Times New Roman" w:hAnsi="Times New Roman"/>
          <w:sz w:val="28"/>
          <w:lang w:val="uk-UA"/>
        </w:rPr>
        <w:t xml:space="preserve">Розрахункова модель </w:t>
      </w:r>
      <w:r w:rsidRPr="00593AC6">
        <w:rPr>
          <w:rFonts w:ascii="Times New Roman" w:hAnsi="Times New Roman" w:cs="Times New Roman"/>
          <w:sz w:val="28"/>
          <w:lang w:val="uk-UA"/>
        </w:rPr>
        <w:t>врах</w:t>
      </w:r>
      <w:r w:rsidRPr="009F21A3">
        <w:rPr>
          <w:rFonts w:ascii="Times New Roman" w:hAnsi="Times New Roman"/>
          <w:sz w:val="28"/>
          <w:lang w:val="uk-UA"/>
        </w:rPr>
        <w:t>овувала останні літературні данні</w:t>
      </w:r>
      <w:r w:rsidRPr="00593AC6">
        <w:rPr>
          <w:rFonts w:ascii="Times New Roman" w:hAnsi="Times New Roman" w:cs="Times New Roman"/>
          <w:sz w:val="28"/>
          <w:lang w:val="uk-UA"/>
        </w:rPr>
        <w:t xml:space="preserve"> щодо спектральної залежності коефіцієнта поглинання у кремнії</w:t>
      </w:r>
      <w:r w:rsidRPr="009F21A3">
        <w:rPr>
          <w:rFonts w:ascii="Times New Roman" w:hAnsi="Times New Roman"/>
          <w:sz w:val="28"/>
          <w:lang w:val="uk-UA"/>
        </w:rPr>
        <w:t>,</w:t>
      </w:r>
      <w:r w:rsidRPr="00593AC6">
        <w:rPr>
          <w:rFonts w:ascii="Times New Roman" w:hAnsi="Times New Roman" w:cs="Times New Roman"/>
          <w:sz w:val="28"/>
          <w:lang w:val="uk-UA"/>
        </w:rPr>
        <w:t xml:space="preserve"> а також коефіцієнтів власної рекомбінації</w:t>
      </w:r>
      <w:r w:rsidRPr="009F21A3">
        <w:rPr>
          <w:rFonts w:ascii="Times New Roman" w:hAnsi="Times New Roman"/>
          <w:sz w:val="28"/>
          <w:lang w:val="uk-UA"/>
        </w:rPr>
        <w:t>.</w:t>
      </w:r>
    </w:p>
    <w:p w:rsidR="009F21A3" w:rsidRDefault="009F21A3" w:rsidP="00F77BB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2F61F0">
        <w:rPr>
          <w:rFonts w:ascii="Times New Roman" w:hAnsi="Times New Roman"/>
          <w:sz w:val="28"/>
          <w:szCs w:val="28"/>
          <w:lang w:val="uk-UA"/>
        </w:rPr>
        <w:t xml:space="preserve">Розглядали саме відносну зміну фотоелектричних параметрів: струму короткого замикання </w:t>
      </w:r>
      <w:proofErr w:type="spellStart"/>
      <w:r w:rsidRPr="002F61F0">
        <w:rPr>
          <w:rFonts w:ascii="Times New Roman" w:hAnsi="Times New Roman"/>
          <w:sz w:val="28"/>
          <w:szCs w:val="28"/>
          <w:lang w:val="uk-UA"/>
        </w:rPr>
        <w:t>I</w:t>
      </w:r>
      <w:r w:rsidRPr="002F61F0">
        <w:rPr>
          <w:rFonts w:ascii="Times New Roman" w:hAnsi="Times New Roman"/>
          <w:sz w:val="28"/>
          <w:szCs w:val="28"/>
          <w:vertAlign w:val="subscript"/>
          <w:lang w:val="uk-UA"/>
        </w:rPr>
        <w:t>sc</w:t>
      </w:r>
      <w:proofErr w:type="spellEnd"/>
      <w:r w:rsidRPr="002F61F0">
        <w:rPr>
          <w:rFonts w:ascii="Times New Roman" w:hAnsi="Times New Roman"/>
          <w:sz w:val="28"/>
          <w:szCs w:val="28"/>
          <w:lang w:val="uk-UA"/>
        </w:rPr>
        <w:t xml:space="preserve">, напруги холостого ходу </w:t>
      </w:r>
      <w:proofErr w:type="spellStart"/>
      <w:r w:rsidRPr="002F61F0">
        <w:rPr>
          <w:rFonts w:ascii="Times New Roman" w:hAnsi="Times New Roman"/>
          <w:sz w:val="28"/>
          <w:szCs w:val="28"/>
          <w:lang w:val="uk-UA"/>
        </w:rPr>
        <w:t>V</w:t>
      </w:r>
      <w:r w:rsidRPr="002F61F0">
        <w:rPr>
          <w:rFonts w:ascii="Times New Roman" w:hAnsi="Times New Roman"/>
          <w:sz w:val="28"/>
          <w:szCs w:val="28"/>
          <w:vertAlign w:val="subscript"/>
          <w:lang w:val="uk-UA"/>
        </w:rPr>
        <w:t>oc</w:t>
      </w:r>
      <w:proofErr w:type="spellEnd"/>
      <w:r w:rsidRPr="002F61F0">
        <w:rPr>
          <w:rFonts w:ascii="Times New Roman" w:hAnsi="Times New Roman"/>
          <w:sz w:val="28"/>
          <w:szCs w:val="28"/>
          <w:lang w:val="uk-UA"/>
        </w:rPr>
        <w:t xml:space="preserve">, фактору заповнення FF та ефективності ɳ в двох станах: 1)залізо існує окремо від бору в </w:t>
      </w:r>
      <w:proofErr w:type="spellStart"/>
      <w:r w:rsidRPr="002F61F0">
        <w:rPr>
          <w:rFonts w:ascii="Times New Roman" w:hAnsi="Times New Roman"/>
          <w:sz w:val="28"/>
          <w:szCs w:val="28"/>
          <w:lang w:val="uk-UA"/>
        </w:rPr>
        <w:t>міжвузольному</w:t>
      </w:r>
      <w:proofErr w:type="spellEnd"/>
      <w:r w:rsidRPr="002F61F0">
        <w:rPr>
          <w:rFonts w:ascii="Times New Roman" w:hAnsi="Times New Roman"/>
          <w:sz w:val="28"/>
          <w:szCs w:val="28"/>
          <w:lang w:val="uk-UA"/>
        </w:rPr>
        <w:t xml:space="preserve"> положенні; 2)залізо утворює пари з бором; для спектру AM1.5. </w:t>
      </w:r>
      <w:r w:rsidR="00D94D40">
        <w:rPr>
          <w:rFonts w:ascii="Times New Roman" w:hAnsi="Times New Roman"/>
          <w:sz w:val="28"/>
          <w:szCs w:val="28"/>
          <w:lang w:val="uk-UA"/>
        </w:rPr>
        <w:t xml:space="preserve">та 940 нм. </w:t>
      </w:r>
      <w:r w:rsidR="0050581B">
        <w:rPr>
          <w:rFonts w:ascii="Times New Roman" w:hAnsi="Times New Roman"/>
          <w:sz w:val="28"/>
          <w:szCs w:val="28"/>
          <w:lang w:val="uk-UA"/>
        </w:rPr>
        <w:t>Треба сказати, що зміна параметру не повинна бути дуже малою, малі зміни важко відстежити на експерименті.</w:t>
      </w:r>
    </w:p>
    <w:p w:rsidR="009F3C80" w:rsidRDefault="00C81308" w:rsidP="00B049C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576" behindDoc="0" locked="0" layoutInCell="1" allowOverlap="1" wp14:anchorId="4B675EDC" wp14:editId="57AEFB0E">
            <wp:simplePos x="0" y="0"/>
            <wp:positionH relativeFrom="column">
              <wp:posOffset>-127635</wp:posOffset>
            </wp:positionH>
            <wp:positionV relativeFrom="page">
              <wp:posOffset>6438900</wp:posOffset>
            </wp:positionV>
            <wp:extent cx="2452370" cy="1838325"/>
            <wp:effectExtent l="0" t="0" r="508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C80" w:rsidRPr="009F3C80">
        <w:rPr>
          <w:rFonts w:ascii="Times New Roman" w:hAnsi="Times New Roman"/>
          <w:b/>
          <w:sz w:val="28"/>
          <w:szCs w:val="28"/>
          <w:lang w:val="uk-UA"/>
        </w:rPr>
        <w:t>940 нм</w:t>
      </w:r>
    </w:p>
    <w:p w:rsidR="009F3C80" w:rsidRPr="000272A1" w:rsidRDefault="000272A1" w:rsidP="000272A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01DA7" wp14:editId="2C6E3DAD">
                <wp:simplePos x="0" y="0"/>
                <wp:positionH relativeFrom="column">
                  <wp:posOffset>-127635</wp:posOffset>
                </wp:positionH>
                <wp:positionV relativeFrom="paragraph">
                  <wp:posOffset>1945640</wp:posOffset>
                </wp:positionV>
                <wp:extent cx="2452370" cy="581025"/>
                <wp:effectExtent l="0" t="0" r="5080" b="9525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370" cy="581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049CA" w:rsidRPr="008154CF" w:rsidRDefault="00B049CA" w:rsidP="00B049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49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Рис.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Залежність відносної зміни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FF</w:t>
                            </w:r>
                            <w:r w:rsidRPr="00B049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від концентрацій заліза та бору,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B049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180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мкм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, Т = 290 К.</w:t>
                            </w:r>
                            <w:r w:rsidR="00815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8154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01DA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-10.05pt;margin-top:153.2pt;width:193.1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" stroked="f">
                <v:textbox inset="0,0,0,0">
                  <w:txbxContent>
                    <w:p w:rsidR="00B049CA" w:rsidRPr="008154CF" w:rsidRDefault="00B049CA" w:rsidP="00B049CA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B049C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Рис.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Залежність відносної зміни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FF</w:t>
                      </w:r>
                      <w:r w:rsidRPr="00B049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від концентрацій заліза та бору,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B049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180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мкм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, Т = 290 К.</w:t>
                      </w:r>
                      <w:r w:rsidR="008154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8154C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3B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Всі </w:t>
      </w:r>
      <w:r w:rsidR="00270E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фотоелектричні </w:t>
      </w:r>
      <w:r w:rsidR="002C3B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параметри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>при середніх концентраціях</w:t>
      </w:r>
      <w:r w:rsidR="002C3B11" w:rsidRPr="002C3B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>бору</w:t>
      </w:r>
      <w:r w:rsidR="002C3B11" w:rsidRPr="002C3B11">
        <w:rPr>
          <w:rFonts w:ascii="Times New Roman" w:eastAsiaTheme="minorEastAsia" w:hAnsi="Times New Roman" w:cs="Times New Roman"/>
          <w:sz w:val="28"/>
          <w:szCs w:val="28"/>
        </w:rPr>
        <w:t xml:space="preserve"> (~10</w:t>
      </w:r>
      <w:r w:rsidR="002C3B11" w:rsidRPr="002C3B1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16</w:t>
      </w:r>
      <w:r w:rsidR="002C3B11" w:rsidRPr="002C3B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3B11" w:rsidRPr="002F61F0">
        <w:rPr>
          <w:rFonts w:ascii="Times New Roman" w:hAnsi="Times New Roman"/>
          <w:sz w:val="28"/>
          <w:szCs w:val="28"/>
          <w:lang w:val="uk-UA"/>
        </w:rPr>
        <w:t>см</w:t>
      </w:r>
      <w:r w:rsidR="002C3B11" w:rsidRPr="002F61F0">
        <w:rPr>
          <w:rFonts w:ascii="Times New Roman" w:hAnsi="Times New Roman"/>
          <w:sz w:val="28"/>
          <w:szCs w:val="28"/>
          <w:vertAlign w:val="superscript"/>
          <w:lang w:val="uk-UA"/>
        </w:rPr>
        <w:t>-3</w:t>
      </w:r>
      <w:r w:rsidR="002C3B11" w:rsidRPr="002C3B11">
        <w:rPr>
          <w:rFonts w:ascii="Times New Roman" w:hAnsi="Times New Roman"/>
          <w:sz w:val="28"/>
          <w:szCs w:val="28"/>
        </w:rPr>
        <w:t>)</w:t>
      </w:r>
      <w:r w:rsidR="002C3B11" w:rsidRPr="002C3B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високих температурах (</w:t>
      </w:r>
      <w:r w:rsidR="002C3B11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2C3B11" w:rsidRPr="002C3B1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>340</w:t>
      </w:r>
      <w:r w:rsidR="002C3B11" w:rsidRPr="002C3B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3B11">
        <w:rPr>
          <w:rFonts w:ascii="Times New Roman" w:eastAsiaTheme="minorEastAsia" w:hAnsi="Times New Roman" w:cs="Times New Roman"/>
          <w:sz w:val="28"/>
          <w:szCs w:val="28"/>
          <w:lang w:val="uk-UA"/>
        </w:rPr>
        <w:t>К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r w:rsidR="00270E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погано описують зміну логарифму концентрації заліза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>. Крім того всі параметри майже не залежать від товщини</w:t>
      </w:r>
      <w:r w:rsidR="00270E2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бази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00344B" w:rsidRPr="003124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Найгірше поводить себе фактор заповнення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00344B" w:rsidRPr="003B37F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Він добре описує тільки високі концентрації </w:t>
      </w:r>
      <w:r w:rsidR="00B049CA" w:rsidRPr="00B049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>бору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~10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17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см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-3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 випадку 940 нм є сенс не використовувати взагалі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en-US"/>
        </w:rPr>
        <w:t>FF</w:t>
      </w:r>
      <w:r w:rsidR="0000344B" w:rsidRPr="003B37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навчання мереж. </w:t>
      </w:r>
      <w:r w:rsidR="00C45507">
        <w:rPr>
          <w:rFonts w:ascii="Times New Roman" w:eastAsiaTheme="minorEastAsia" w:hAnsi="Times New Roman" w:cs="Times New Roman"/>
          <w:sz w:val="28"/>
          <w:szCs w:val="28"/>
          <w:lang w:val="uk-UA"/>
        </w:rPr>
        <w:t>З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точки зору якості баз даних, оптимальним набором</w:t>
      </w:r>
      <w:r w:rsidR="00C4550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фотоелектричних параметрів</w:t>
      </w:r>
      <w:r w:rsidR="0000344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буде набір </w:t>
      </w:r>
      <w:r w:rsidRPr="000272A1">
        <w:rPr>
          <w:rFonts w:ascii="Times New Roman" w:eastAsiaTheme="minorEastAsia" w:hAnsi="Times New Roman" w:cs="Times New Roman"/>
          <w:sz w:val="28"/>
          <w:szCs w:val="28"/>
        </w:rPr>
        <w:t>{</w:t>
      </w:r>
      <w:r w:rsidRPr="002F61F0">
        <w:rPr>
          <w:rFonts w:ascii="Times New Roman" w:hAnsi="Times New Roman"/>
          <w:sz w:val="28"/>
          <w:szCs w:val="28"/>
          <w:lang w:val="uk-UA"/>
        </w:rPr>
        <w:t>η</w:t>
      </w:r>
      <w:r w:rsidR="00270E22">
        <w:rPr>
          <w:rFonts w:ascii="Times New Roman" w:hAnsi="Times New Roman"/>
          <w:sz w:val="28"/>
          <w:szCs w:val="28"/>
        </w:rPr>
        <w:t>,</w:t>
      </w:r>
      <w:r w:rsidRPr="000272A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sc</w:t>
      </w:r>
      <w:proofErr w:type="spellEnd"/>
      <w:r w:rsidRPr="000272A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272A1"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32"/>
          <w:szCs w:val="28"/>
          <w:vertAlign w:val="subscript"/>
          <w:lang w:val="en-US"/>
        </w:rPr>
        <w:t>oc</w:t>
      </w:r>
      <w:proofErr w:type="spellEnd"/>
      <w:r w:rsidRPr="000272A1">
        <w:rPr>
          <w:rFonts w:ascii="Times New Roman" w:hAnsi="Times New Roman"/>
          <w:sz w:val="32"/>
          <w:szCs w:val="28"/>
        </w:rPr>
        <w:t>}.</w:t>
      </w:r>
    </w:p>
    <w:p w:rsidR="007E0B2B" w:rsidRDefault="009F159E" w:rsidP="007E0B2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AE8849" wp14:editId="4CAF13CA">
                <wp:simplePos x="0" y="0"/>
                <wp:positionH relativeFrom="column">
                  <wp:posOffset>-3810</wp:posOffset>
                </wp:positionH>
                <wp:positionV relativeFrom="paragraph">
                  <wp:posOffset>2534285</wp:posOffset>
                </wp:positionV>
                <wp:extent cx="293370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59E" w:rsidRPr="009F159E" w:rsidRDefault="009F159E" w:rsidP="009F1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Рис. </w:t>
                            </w:r>
                            <w:r w:rsidR="001829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Залежність відносної зміни η від концентрації заліза та товщини бази, T = 290 К, N</w:t>
                            </w:r>
                            <w:r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B</w:t>
                            </w:r>
                            <w:r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= 10</w:t>
                            </w:r>
                            <w:r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uk-UA"/>
                              </w:rPr>
                              <w:t>15</w:t>
                            </w:r>
                            <w:r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см</w:t>
                            </w:r>
                            <w:r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uk-UA"/>
                              </w:rPr>
                              <w:t>-3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uk-UA"/>
                              </w:rPr>
                              <w:t xml:space="preserve"> </w:t>
                            </w:r>
                            <w:r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E8849" id="Надпись 7" o:spid="_x0000_s1027" type="#_x0000_t202" style="position:absolute;left:0;text-align:left;margin-left:-.3pt;margin-top:199.55pt;width:231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" stroked="f">
                <v:textbox style="mso-fit-shape-to-text:t" inset="0,0,0,0">
                  <w:txbxContent>
                    <w:p w:rsidR="009F159E" w:rsidRPr="009F159E" w:rsidRDefault="009F159E" w:rsidP="009F159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r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Рис. </w:t>
                      </w:r>
                      <w:r w:rsidR="001829F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  <w:r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Залежність відносної зміни η від концентрації заліза та товщини бази, T = 290 К, N</w:t>
                      </w:r>
                      <w:r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B</w:t>
                      </w:r>
                      <w:r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= 10</w:t>
                      </w:r>
                      <w:r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uk-UA"/>
                        </w:rPr>
                        <w:t>15</w:t>
                      </w:r>
                      <w:r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см</w:t>
                      </w:r>
                      <w:r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uk-UA"/>
                        </w:rPr>
                        <w:t>-3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uk-UA"/>
                        </w:rPr>
                        <w:t xml:space="preserve"> </w:t>
                      </w:r>
                      <w:r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6395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7DA778A" wp14:editId="0328C154">
            <wp:simplePos x="0" y="0"/>
            <wp:positionH relativeFrom="column">
              <wp:posOffset>-3810</wp:posOffset>
            </wp:positionH>
            <wp:positionV relativeFrom="page">
              <wp:posOffset>1105535</wp:posOffset>
            </wp:positionV>
            <wp:extent cx="2933700" cy="227139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1A3" w:rsidRPr="002F61F0">
        <w:rPr>
          <w:rFonts w:ascii="Times New Roman" w:hAnsi="Times New Roman"/>
          <w:b/>
          <w:sz w:val="28"/>
          <w:szCs w:val="28"/>
          <w:lang w:val="uk-UA"/>
        </w:rPr>
        <w:t>АМ 1.5</w:t>
      </w:r>
    </w:p>
    <w:p w:rsidR="009F21A3" w:rsidRPr="009F159E" w:rsidRDefault="00193C69" w:rsidP="009F159E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3CE5A0C" wp14:editId="3E6155A7">
            <wp:simplePos x="0" y="0"/>
            <wp:positionH relativeFrom="column">
              <wp:posOffset>3053715</wp:posOffset>
            </wp:positionH>
            <wp:positionV relativeFrom="page">
              <wp:posOffset>3438525</wp:posOffset>
            </wp:positionV>
            <wp:extent cx="2709545" cy="208851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B2B" w:rsidRPr="002F61F0">
        <w:rPr>
          <w:rFonts w:ascii="Times New Roman" w:hAnsi="Times New Roman"/>
          <w:sz w:val="28"/>
          <w:szCs w:val="28"/>
          <w:lang w:val="uk-UA"/>
        </w:rPr>
        <w:t xml:space="preserve">Ефективність [ɳ] погано описує концентрацію заліза при малих значеннях концентрації </w:t>
      </w:r>
      <w:r w:rsidR="007E0B2B">
        <w:rPr>
          <w:rFonts w:ascii="Times New Roman" w:hAnsi="Times New Roman"/>
          <w:sz w:val="28"/>
          <w:szCs w:val="28"/>
          <w:lang w:val="uk-UA"/>
        </w:rPr>
        <w:t xml:space="preserve">легованого </w:t>
      </w:r>
      <w:r w:rsidR="007E0B2B" w:rsidRPr="002F61F0">
        <w:rPr>
          <w:rFonts w:ascii="Times New Roman" w:hAnsi="Times New Roman"/>
          <w:sz w:val="28"/>
          <w:szCs w:val="28"/>
          <w:lang w:val="uk-UA"/>
        </w:rPr>
        <w:t>бору (10</w:t>
      </w:r>
      <w:r w:rsidR="007E0B2B" w:rsidRPr="002F61F0">
        <w:rPr>
          <w:rFonts w:ascii="Times New Roman" w:hAnsi="Times New Roman"/>
          <w:sz w:val="28"/>
          <w:szCs w:val="28"/>
          <w:vertAlign w:val="superscript"/>
          <w:lang w:val="uk-UA"/>
        </w:rPr>
        <w:t>15</w:t>
      </w:r>
      <w:r w:rsidR="007E0B2B" w:rsidRPr="002F61F0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="007E0B2B" w:rsidRPr="002F61F0">
        <w:rPr>
          <w:rFonts w:ascii="Times New Roman" w:hAnsi="Times New Roman"/>
          <w:sz w:val="28"/>
          <w:szCs w:val="28"/>
          <w:vertAlign w:val="superscript"/>
          <w:lang w:val="uk-UA"/>
        </w:rPr>
        <w:t>-3</w:t>
      </w:r>
      <w:r w:rsidR="007E0B2B" w:rsidRPr="002F61F0">
        <w:rPr>
          <w:rFonts w:ascii="Times New Roman" w:hAnsi="Times New Roman"/>
          <w:sz w:val="28"/>
          <w:szCs w:val="28"/>
          <w:lang w:val="uk-UA"/>
        </w:rPr>
        <w:t xml:space="preserve">), </w:t>
      </w:r>
      <w:r w:rsidR="007E0B2B" w:rsidRPr="002F61F0">
        <w:rPr>
          <w:rFonts w:ascii="Times New Roman" w:eastAsia="Times New Roman" w:hAnsi="Times New Roman"/>
          <w:sz w:val="28"/>
          <w:szCs w:val="28"/>
          <w:lang w:val="uk-UA"/>
        </w:rPr>
        <w:t xml:space="preserve">так при варіюванні товщини бази в усій області температур спостерігається V-подібна залежність концентрації заліза від </w:t>
      </w:r>
      <w:r w:rsidR="007E0B2B" w:rsidRPr="002F61F0">
        <w:rPr>
          <w:rFonts w:ascii="Times New Roman" w:hAnsi="Times New Roman"/>
          <w:sz w:val="28"/>
          <w:szCs w:val="28"/>
          <w:lang w:val="uk-UA"/>
        </w:rPr>
        <w:t xml:space="preserve">η (Рис. </w:t>
      </w:r>
      <w:r w:rsidR="001829F3">
        <w:rPr>
          <w:rFonts w:ascii="Times New Roman" w:hAnsi="Times New Roman"/>
          <w:sz w:val="28"/>
          <w:szCs w:val="28"/>
          <w:lang w:val="uk-UA"/>
        </w:rPr>
        <w:t>2</w:t>
      </w:r>
      <w:r w:rsidR="007E0B2B" w:rsidRPr="002F61F0">
        <w:rPr>
          <w:rFonts w:ascii="Times New Roman" w:hAnsi="Times New Roman"/>
          <w:sz w:val="28"/>
          <w:szCs w:val="28"/>
          <w:lang w:val="uk-UA"/>
        </w:rPr>
        <w:t>). Крім того, при малих значеннях концентрації бору зміна температури не впливає на ефективність СЕ.</w:t>
      </w:r>
    </w:p>
    <w:p w:rsidR="00E9318B" w:rsidRDefault="003E27DB" w:rsidP="00193C69">
      <w:pPr>
        <w:spacing w:line="240" w:lineRule="auto"/>
        <w:ind w:right="49"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B783200" wp14:editId="0D22F0D0">
            <wp:simplePos x="0" y="0"/>
            <wp:positionH relativeFrom="column">
              <wp:posOffset>53340</wp:posOffset>
            </wp:positionH>
            <wp:positionV relativeFrom="page">
              <wp:posOffset>5615940</wp:posOffset>
            </wp:positionV>
            <wp:extent cx="2876550" cy="218059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C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116AEA" wp14:editId="1B3F6535">
                <wp:simplePos x="0" y="0"/>
                <wp:positionH relativeFrom="column">
                  <wp:posOffset>3053715</wp:posOffset>
                </wp:positionH>
                <wp:positionV relativeFrom="paragraph">
                  <wp:posOffset>2262505</wp:posOffset>
                </wp:positionV>
                <wp:extent cx="2642870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59E" w:rsidRPr="009C5D52" w:rsidRDefault="001829F3" w:rsidP="009F1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Рис. 3</w:t>
                            </w:r>
                            <w:r w:rsidR="009F159E" w:rsidRPr="00F71F9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Залежність відносної зміни FF від концентрації заліза та товщини бази, T = 290 К, N</w:t>
                            </w:r>
                            <w:r w:rsidR="009F159E" w:rsidRPr="00F71F9E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B</w:t>
                            </w:r>
                            <w:r w:rsidR="009F159E" w:rsidRPr="00F71F9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= 10</w:t>
                            </w:r>
                            <w:r w:rsidR="009F159E" w:rsidRPr="00F71F9E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  <w:lang w:val="uk-UA"/>
                              </w:rPr>
                              <w:t>17</w:t>
                            </w:r>
                            <w:r w:rsidR="009F159E" w:rsidRPr="00F71F9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 xml:space="preserve"> см</w:t>
                            </w:r>
                            <w:r w:rsidR="009F159E" w:rsidRPr="00F71F9E"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  <w:lang w:val="uk-UA"/>
                              </w:rPr>
                              <w:t>-3</w:t>
                            </w:r>
                            <w:r w:rsidR="009C5D5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D94D40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 w:rsidR="009C5D5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6AEA" id="Надпись 6" o:spid="_x0000_s1028" type="#_x0000_t202" style="position:absolute;left:0;text-align:left;margin-left:240.45pt;margin-top:178.15pt;width:208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" stroked="f">
                <v:textbox style="mso-fit-shape-to-text:t" inset="0,0,0,0">
                  <w:txbxContent>
                    <w:p w:rsidR="009F159E" w:rsidRPr="009C5D52" w:rsidRDefault="001829F3" w:rsidP="009F159E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Рис. 3</w:t>
                      </w:r>
                      <w:r w:rsidR="009F159E" w:rsidRPr="00F71F9E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Залежність відносної зміни FF від концентрації заліза та товщини бази, T = 290 К, N</w:t>
                      </w:r>
                      <w:r w:rsidR="009F159E" w:rsidRPr="00F71F9E">
                        <w:rPr>
                          <w:rFonts w:ascii="Times New Roman" w:hAnsi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B</w:t>
                      </w:r>
                      <w:r w:rsidR="009F159E" w:rsidRPr="00F71F9E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= 10</w:t>
                      </w:r>
                      <w:r w:rsidR="009F159E" w:rsidRPr="00F71F9E">
                        <w:rPr>
                          <w:rFonts w:ascii="Times New Roman" w:hAnsi="Times New Roman"/>
                          <w:sz w:val="24"/>
                          <w:szCs w:val="24"/>
                          <w:vertAlign w:val="superscript"/>
                          <w:lang w:val="uk-UA"/>
                        </w:rPr>
                        <w:t>17</w:t>
                      </w:r>
                      <w:r w:rsidR="009F159E" w:rsidRPr="00F71F9E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 xml:space="preserve"> см</w:t>
                      </w:r>
                      <w:r w:rsidR="009F159E" w:rsidRPr="00F71F9E">
                        <w:rPr>
                          <w:rFonts w:ascii="Times New Roman" w:hAnsi="Times New Roman"/>
                          <w:sz w:val="24"/>
                          <w:szCs w:val="24"/>
                          <w:vertAlign w:val="superscript"/>
                          <w:lang w:val="uk-UA"/>
                        </w:rPr>
                        <w:t>-3</w:t>
                      </w:r>
                      <w:r w:rsidR="009C5D52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D94D40">
                        <w:rPr>
                          <w:rFonts w:ascii="Times New Roman" w:hAnsi="Times New Roman"/>
                          <w:sz w:val="24"/>
                          <w:szCs w:val="24"/>
                          <w:lang w:val="uk-UA"/>
                        </w:rPr>
                        <w:t>1</w:t>
                      </w:r>
                      <w:r w:rsidR="009C5D52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0E59" w:rsidRPr="002F61F0">
        <w:rPr>
          <w:rFonts w:ascii="Times New Roman" w:hAnsi="Times New Roman"/>
          <w:sz w:val="28"/>
          <w:szCs w:val="28"/>
          <w:lang w:val="uk-UA"/>
        </w:rPr>
        <w:t>Фактор заповнення [FF] добре описує тільки високі концентрації бору (10</w:t>
      </w:r>
      <w:r w:rsidR="00BD0E59" w:rsidRPr="002F61F0">
        <w:rPr>
          <w:rFonts w:ascii="Times New Roman" w:hAnsi="Times New Roman"/>
          <w:sz w:val="28"/>
          <w:szCs w:val="28"/>
          <w:vertAlign w:val="superscript"/>
          <w:lang w:val="uk-UA"/>
        </w:rPr>
        <w:t>17</w:t>
      </w:r>
      <w:r w:rsidR="00BD0E59" w:rsidRPr="002F61F0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="00BD0E59" w:rsidRPr="002F61F0">
        <w:rPr>
          <w:rFonts w:ascii="Times New Roman" w:hAnsi="Times New Roman"/>
          <w:sz w:val="28"/>
          <w:szCs w:val="28"/>
          <w:vertAlign w:val="superscript"/>
          <w:lang w:val="uk-UA"/>
        </w:rPr>
        <w:t>-3</w:t>
      </w:r>
      <w:r w:rsidR="00BD0E59" w:rsidRPr="002F61F0">
        <w:rPr>
          <w:rFonts w:ascii="Times New Roman" w:hAnsi="Times New Roman"/>
          <w:sz w:val="28"/>
          <w:szCs w:val="28"/>
          <w:lang w:val="uk-UA"/>
        </w:rPr>
        <w:t>) і майж</w:t>
      </w:r>
      <w:r w:rsidR="00F71F9E">
        <w:rPr>
          <w:rFonts w:ascii="Times New Roman" w:hAnsi="Times New Roman"/>
          <w:sz w:val="28"/>
          <w:szCs w:val="28"/>
          <w:lang w:val="uk-UA"/>
        </w:rPr>
        <w:t xml:space="preserve">е не залежить від товщини бази. </w:t>
      </w:r>
      <w:r w:rsidR="00BD0E59" w:rsidRPr="002F61F0">
        <w:rPr>
          <w:rFonts w:ascii="Times New Roman" w:eastAsia="Times New Roman" w:hAnsi="Times New Roman" w:cs="Times New Roman"/>
          <w:sz w:val="28"/>
          <w:szCs w:val="28"/>
          <w:lang w:val="uk-UA"/>
        </w:rPr>
        <w:t>При збільшенні концентрації бору величина з</w:t>
      </w:r>
      <w:r w:rsidR="00193C69">
        <w:rPr>
          <w:rFonts w:ascii="Times New Roman" w:eastAsia="Times New Roman" w:hAnsi="Times New Roman" w:cs="Times New Roman"/>
          <w:sz w:val="28"/>
          <w:szCs w:val="28"/>
          <w:lang w:val="uk-UA"/>
        </w:rPr>
        <w:t>міни фактору заповнення  значно</w:t>
      </w:r>
      <w:r w:rsidR="00193C69" w:rsidRPr="00193C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E59" w:rsidRPr="002F61F0">
        <w:rPr>
          <w:rFonts w:ascii="Times New Roman" w:eastAsia="Times New Roman" w:hAnsi="Times New Roman" w:cs="Times New Roman"/>
          <w:sz w:val="28"/>
          <w:szCs w:val="28"/>
          <w:lang w:val="uk-UA"/>
        </w:rPr>
        <w:t>зменшується</w:t>
      </w:r>
      <w:r w:rsidR="001829F3" w:rsidRPr="001829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3C69">
        <w:rPr>
          <w:rFonts w:ascii="Times New Roman" w:eastAsia="Times New Roman" w:hAnsi="Times New Roman" w:cs="Times New Roman"/>
          <w:sz w:val="28"/>
          <w:szCs w:val="28"/>
          <w:lang w:val="uk-UA"/>
        </w:rPr>
        <w:t>(Рис.</w:t>
      </w:r>
      <w:r w:rsidR="001829F3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F71F9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  <w:r w:rsidR="00193C69" w:rsidRPr="00193C69">
        <w:rPr>
          <w:rFonts w:ascii="Times New Roman" w:hAnsi="Times New Roman"/>
          <w:sz w:val="28"/>
          <w:szCs w:val="28"/>
        </w:rPr>
        <w:t xml:space="preserve">                       </w:t>
      </w:r>
      <w:r w:rsidR="00193C69">
        <w:rPr>
          <w:rFonts w:ascii="Times New Roman" w:hAnsi="Times New Roman"/>
          <w:sz w:val="28"/>
          <w:szCs w:val="28"/>
        </w:rPr>
        <w:t xml:space="preserve">                              </w:t>
      </w:r>
      <w:r w:rsidR="00E9318B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85F64" w:rsidRPr="00193C69" w:rsidRDefault="003E27DB" w:rsidP="00193C69">
      <w:pPr>
        <w:spacing w:line="240" w:lineRule="auto"/>
        <w:ind w:right="49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26D84" wp14:editId="4BF0498D">
                <wp:simplePos x="0" y="0"/>
                <wp:positionH relativeFrom="column">
                  <wp:posOffset>-3810</wp:posOffset>
                </wp:positionH>
                <wp:positionV relativeFrom="paragraph">
                  <wp:posOffset>2154555</wp:posOffset>
                </wp:positionV>
                <wp:extent cx="2933700" cy="62865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28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159E" w:rsidRPr="009C5D52" w:rsidRDefault="001829F3" w:rsidP="009F159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Рис. 4</w:t>
                            </w:r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З</w:t>
                            </w:r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алежність відносної зміни </w:t>
                            </w:r>
                            <w:proofErr w:type="spellStart"/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oc</w:t>
                            </w:r>
                            <w:proofErr w:type="spellEnd"/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від концентрації заліза та товщини бази,  T = 340 К, N</w:t>
                            </w:r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  <w:lang w:val="uk-UA"/>
                              </w:rPr>
                              <w:t>B</w:t>
                            </w:r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= 10</w:t>
                            </w:r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uk-UA"/>
                              </w:rPr>
                              <w:t>16</w:t>
                            </w:r>
                            <w:r w:rsidR="009F159E" w:rsidRPr="009F15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9F159E" w:rsidRPr="009C5D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см</w:t>
                            </w:r>
                            <w:r w:rsidR="009C5D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-3</w:t>
                            </w:r>
                            <w:r w:rsidR="009C5D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C455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9C5D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6D84" id="Надпись 1" o:spid="_x0000_s1029" type="#_x0000_t202" style="position:absolute;left:0;text-align:left;margin-left:-.3pt;margin-top:169.65pt;width:231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" stroked="f">
                <v:textbox inset="0,0,0,0">
                  <w:txbxContent>
                    <w:p w:rsidR="009F159E" w:rsidRPr="009C5D52" w:rsidRDefault="001829F3" w:rsidP="009F159E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Рис. 4</w:t>
                      </w:r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З</w:t>
                      </w:r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алежність відносної зміни </w:t>
                      </w:r>
                      <w:proofErr w:type="spellStart"/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</w:t>
                      </w:r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oc</w:t>
                      </w:r>
                      <w:proofErr w:type="spellEnd"/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від концентрації заліза та товщини бази,  T = 340 К, N</w:t>
                      </w:r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uk-UA"/>
                        </w:rPr>
                        <w:t>B</w:t>
                      </w:r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= 10</w:t>
                      </w:r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uk-UA"/>
                        </w:rPr>
                        <w:t>16</w:t>
                      </w:r>
                      <w:r w:rsidR="009F159E" w:rsidRPr="009F15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9F159E" w:rsidRPr="009C5D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см</w:t>
                      </w:r>
                      <w:r w:rsidR="009C5D52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-3</w:t>
                      </w:r>
                      <w:r w:rsidR="009C5D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C455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9C5D5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2F7C" w:rsidRPr="002F61F0">
        <w:rPr>
          <w:rFonts w:ascii="Times New Roman" w:hAnsi="Times New Roman"/>
          <w:sz w:val="28"/>
          <w:szCs w:val="28"/>
          <w:lang w:val="uk-UA"/>
        </w:rPr>
        <w:t>Напруга холостого ходу [</w:t>
      </w:r>
      <w:proofErr w:type="spellStart"/>
      <w:r w:rsidR="00BE2F7C" w:rsidRPr="002F61F0">
        <w:rPr>
          <w:rFonts w:ascii="Times New Roman" w:hAnsi="Times New Roman"/>
          <w:sz w:val="28"/>
          <w:szCs w:val="28"/>
          <w:lang w:val="uk-UA"/>
        </w:rPr>
        <w:t>V</w:t>
      </w:r>
      <w:r w:rsidR="00BE2F7C" w:rsidRPr="002F61F0">
        <w:rPr>
          <w:rFonts w:ascii="Times New Roman" w:hAnsi="Times New Roman"/>
          <w:sz w:val="28"/>
          <w:szCs w:val="28"/>
          <w:vertAlign w:val="subscript"/>
          <w:lang w:val="uk-UA"/>
        </w:rPr>
        <w:t>oc</w:t>
      </w:r>
      <w:proofErr w:type="spellEnd"/>
      <w:r w:rsidR="00BE2F7C" w:rsidRPr="002F61F0">
        <w:rPr>
          <w:rFonts w:ascii="Times New Roman" w:hAnsi="Times New Roman"/>
          <w:sz w:val="28"/>
          <w:szCs w:val="28"/>
          <w:lang w:val="uk-UA"/>
        </w:rPr>
        <w:t>] погано описує концентрації бору порядку N</w:t>
      </w:r>
      <w:r w:rsidR="00BE2F7C" w:rsidRPr="002F61F0">
        <w:rPr>
          <w:rFonts w:ascii="Times New Roman" w:hAnsi="Times New Roman"/>
          <w:sz w:val="28"/>
          <w:szCs w:val="28"/>
          <w:vertAlign w:val="subscript"/>
          <w:lang w:val="uk-UA"/>
        </w:rPr>
        <w:t>B</w:t>
      </w:r>
      <w:r w:rsidR="00BE2F7C" w:rsidRPr="002F61F0">
        <w:rPr>
          <w:rFonts w:ascii="Times New Roman" w:hAnsi="Times New Roman"/>
          <w:sz w:val="28"/>
          <w:szCs w:val="28"/>
          <w:lang w:val="uk-UA"/>
        </w:rPr>
        <w:t xml:space="preserve"> = 10</w:t>
      </w:r>
      <w:r w:rsidR="00BE2F7C" w:rsidRPr="002F61F0">
        <w:rPr>
          <w:rFonts w:ascii="Times New Roman" w:hAnsi="Times New Roman"/>
          <w:sz w:val="28"/>
          <w:szCs w:val="28"/>
          <w:vertAlign w:val="superscript"/>
          <w:lang w:val="uk-UA"/>
        </w:rPr>
        <w:t>16</w:t>
      </w:r>
      <w:r w:rsidR="00BE2F7C" w:rsidRPr="002F61F0">
        <w:rPr>
          <w:rFonts w:ascii="Times New Roman" w:hAnsi="Times New Roman"/>
          <w:sz w:val="28"/>
          <w:szCs w:val="28"/>
          <w:lang w:val="uk-UA"/>
        </w:rPr>
        <w:t xml:space="preserve"> см</w:t>
      </w:r>
      <w:r w:rsidR="00BE2F7C" w:rsidRPr="002F61F0">
        <w:rPr>
          <w:rFonts w:ascii="Times New Roman" w:hAnsi="Times New Roman"/>
          <w:sz w:val="28"/>
          <w:szCs w:val="28"/>
          <w:vertAlign w:val="superscript"/>
          <w:lang w:val="uk-UA"/>
        </w:rPr>
        <w:t>-3</w:t>
      </w:r>
      <w:r w:rsidR="00BE2F7C" w:rsidRPr="002F61F0">
        <w:rPr>
          <w:rFonts w:ascii="Times New Roman" w:hAnsi="Times New Roman"/>
          <w:sz w:val="28"/>
          <w:szCs w:val="28"/>
          <w:lang w:val="uk-UA"/>
        </w:rPr>
        <w:t xml:space="preserve"> та високі температури</w:t>
      </w:r>
      <w:r w:rsidR="00BE2F7C" w:rsidRPr="00D85F64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BE2F7C"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1829F3">
        <w:rPr>
          <w:rFonts w:ascii="Times New Roman" w:hAnsi="Times New Roman"/>
          <w:sz w:val="28"/>
          <w:szCs w:val="28"/>
          <w:lang w:val="uk-UA"/>
        </w:rPr>
        <w:t>4</w:t>
      </w:r>
      <w:r w:rsidR="00BE2F7C" w:rsidRPr="00D85F64">
        <w:rPr>
          <w:rFonts w:ascii="Times New Roman" w:hAnsi="Times New Roman"/>
          <w:sz w:val="28"/>
          <w:szCs w:val="28"/>
          <w:lang w:val="uk-UA"/>
        </w:rPr>
        <w:t>)</w:t>
      </w:r>
      <w:r w:rsidR="00BE2F7C" w:rsidRPr="002F61F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9F159E">
        <w:rPr>
          <w:rFonts w:ascii="Times New Roman" w:hAnsi="Times New Roman"/>
          <w:sz w:val="28"/>
          <w:szCs w:val="28"/>
          <w:lang w:val="uk-UA"/>
        </w:rPr>
        <w:t xml:space="preserve">Струм короткого замикання </w:t>
      </w:r>
      <w:r w:rsidR="009F159E" w:rsidRPr="009F159E">
        <w:rPr>
          <w:rFonts w:ascii="Times New Roman" w:hAnsi="Times New Roman"/>
          <w:sz w:val="28"/>
          <w:szCs w:val="28"/>
        </w:rPr>
        <w:t>[</w:t>
      </w:r>
      <w:proofErr w:type="spellStart"/>
      <w:r w:rsidR="009F159E">
        <w:rPr>
          <w:rFonts w:ascii="Times New Roman" w:hAnsi="Times New Roman"/>
          <w:sz w:val="28"/>
          <w:szCs w:val="28"/>
          <w:lang w:val="en-US"/>
        </w:rPr>
        <w:t>I</w:t>
      </w:r>
      <w:r w:rsidR="009F159E">
        <w:rPr>
          <w:rFonts w:ascii="Times New Roman" w:hAnsi="Times New Roman"/>
          <w:sz w:val="28"/>
          <w:szCs w:val="28"/>
          <w:vertAlign w:val="subscript"/>
          <w:lang w:val="en-US"/>
        </w:rPr>
        <w:t>sc</w:t>
      </w:r>
      <w:proofErr w:type="spellEnd"/>
      <w:r w:rsidR="009F159E" w:rsidRPr="009F159E">
        <w:rPr>
          <w:rFonts w:ascii="Times New Roman" w:hAnsi="Times New Roman"/>
          <w:sz w:val="28"/>
          <w:szCs w:val="28"/>
        </w:rPr>
        <w:t xml:space="preserve">] </w:t>
      </w:r>
      <w:r w:rsidR="009F159E">
        <w:rPr>
          <w:rFonts w:ascii="Times New Roman" w:hAnsi="Times New Roman"/>
          <w:sz w:val="28"/>
          <w:szCs w:val="28"/>
          <w:lang w:val="uk-UA"/>
        </w:rPr>
        <w:t xml:space="preserve">немає суттєвих недоліків або проблемних областей. </w:t>
      </w:r>
      <w:r w:rsidR="00D45FD2">
        <w:rPr>
          <w:rFonts w:ascii="Times New Roman" w:hAnsi="Times New Roman"/>
          <w:sz w:val="28"/>
          <w:szCs w:val="28"/>
          <w:lang w:val="uk-UA"/>
        </w:rPr>
        <w:t xml:space="preserve">Зроблено висновок про непотрібність використання в подальших дослідженнях фактору заповнення </w:t>
      </w:r>
      <w:r w:rsidR="00D45FD2">
        <w:rPr>
          <w:rFonts w:ascii="Times New Roman" w:hAnsi="Times New Roman"/>
          <w:sz w:val="28"/>
          <w:szCs w:val="28"/>
          <w:lang w:val="en-US"/>
        </w:rPr>
        <w:t>FF</w:t>
      </w:r>
      <w:r w:rsidR="007816DB">
        <w:rPr>
          <w:rFonts w:ascii="Times New Roman" w:hAnsi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B256D2" w:rsidRPr="00A54239" w:rsidRDefault="00B256D2" w:rsidP="00D94D40">
      <w:pPr>
        <w:tabs>
          <w:tab w:val="left" w:pos="0"/>
        </w:tabs>
        <w:spacing w:line="240" w:lineRule="auto"/>
        <w:ind w:right="49"/>
        <w:jc w:val="both"/>
        <w:rPr>
          <w:rFonts w:ascii="Times New Roman" w:hAnsi="Times New Roman"/>
          <w:sz w:val="28"/>
          <w:szCs w:val="28"/>
          <w:lang w:val="uk-UA"/>
        </w:rPr>
      </w:pPr>
      <w:r w:rsidRPr="00A54239">
        <w:rPr>
          <w:rFonts w:ascii="Times New Roman" w:hAnsi="Times New Roman"/>
          <w:sz w:val="28"/>
          <w:szCs w:val="28"/>
          <w:lang w:val="uk-UA"/>
        </w:rPr>
        <w:t>Джерела</w:t>
      </w:r>
    </w:p>
    <w:p w:rsidR="00A147F1" w:rsidRPr="00A54239" w:rsidRDefault="00D94D40" w:rsidP="00D94D40">
      <w:pPr>
        <w:tabs>
          <w:tab w:val="left" w:pos="0"/>
        </w:tabs>
        <w:spacing w:line="240" w:lineRule="auto"/>
        <w:ind w:right="49"/>
        <w:jc w:val="both"/>
        <w:rPr>
          <w:rFonts w:ascii="Times New Roman" w:hAnsi="Times New Roman"/>
          <w:sz w:val="28"/>
          <w:szCs w:val="28"/>
          <w:lang w:val="en-US"/>
        </w:rPr>
      </w:pPr>
      <w:r w:rsidRPr="00A54239">
        <w:rPr>
          <w:rFonts w:ascii="Times New Roman" w:hAnsi="Times New Roman"/>
          <w:sz w:val="28"/>
          <w:szCs w:val="28"/>
          <w:lang w:val="uk-UA"/>
        </w:rPr>
        <w:t>1.</w:t>
      </w:r>
      <w:r w:rsidR="00C53BF0" w:rsidRPr="00A54239">
        <w:rPr>
          <w:sz w:val="28"/>
          <w:szCs w:val="28"/>
        </w:rPr>
        <w:t xml:space="preserve"> </w:t>
      </w:r>
      <w:r w:rsidR="00C53BF0" w:rsidRPr="00A54239">
        <w:rPr>
          <w:rFonts w:ascii="Times New Roman" w:hAnsi="Times New Roman"/>
          <w:sz w:val="28"/>
          <w:szCs w:val="28"/>
          <w:lang w:val="uk-UA"/>
        </w:rPr>
        <w:t>https://github.com/Zavhorodnii-Oleksii/thesis.git</w:t>
      </w:r>
    </w:p>
    <w:p w:rsidR="00D85F64" w:rsidRPr="00D85F64" w:rsidRDefault="00D85F64" w:rsidP="00D85F64">
      <w:pPr>
        <w:spacing w:line="240" w:lineRule="auto"/>
        <w:ind w:left="4820" w:right="4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71F9E" w:rsidRPr="00A147F1" w:rsidRDefault="00F71F9E" w:rsidP="00D85F64">
      <w:pPr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D85F64" w:rsidRPr="00A147F1" w:rsidRDefault="00D85F64" w:rsidP="00D85F64">
      <w:pPr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BD0E59" w:rsidRPr="00D85F64" w:rsidRDefault="00BD0E59" w:rsidP="003822BE">
      <w:pPr>
        <w:spacing w:line="240" w:lineRule="auto"/>
        <w:ind w:right="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85F6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</w:t>
      </w:r>
    </w:p>
    <w:sectPr w:rsidR="00BD0E59" w:rsidRPr="00D85F64" w:rsidSect="00B13D2C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91B20"/>
    <w:multiLevelType w:val="hybridMultilevel"/>
    <w:tmpl w:val="76540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9D"/>
    <w:rsid w:val="0000344B"/>
    <w:rsid w:val="00023846"/>
    <w:rsid w:val="000272A1"/>
    <w:rsid w:val="00060ECF"/>
    <w:rsid w:val="000A055B"/>
    <w:rsid w:val="000B3100"/>
    <w:rsid w:val="000D56B5"/>
    <w:rsid w:val="00112C81"/>
    <w:rsid w:val="001377A1"/>
    <w:rsid w:val="001537D4"/>
    <w:rsid w:val="001829F3"/>
    <w:rsid w:val="00193C69"/>
    <w:rsid w:val="001D604A"/>
    <w:rsid w:val="001E5790"/>
    <w:rsid w:val="001E6F12"/>
    <w:rsid w:val="00270E22"/>
    <w:rsid w:val="002C3B11"/>
    <w:rsid w:val="002E65B3"/>
    <w:rsid w:val="00345680"/>
    <w:rsid w:val="003822BE"/>
    <w:rsid w:val="003E27DB"/>
    <w:rsid w:val="00493FFC"/>
    <w:rsid w:val="0050581B"/>
    <w:rsid w:val="007816DB"/>
    <w:rsid w:val="007E0B2B"/>
    <w:rsid w:val="008154CF"/>
    <w:rsid w:val="00826865"/>
    <w:rsid w:val="00890F13"/>
    <w:rsid w:val="008C5749"/>
    <w:rsid w:val="009165BE"/>
    <w:rsid w:val="00932720"/>
    <w:rsid w:val="009C5D52"/>
    <w:rsid w:val="009F159E"/>
    <w:rsid w:val="009F21A3"/>
    <w:rsid w:val="009F3C80"/>
    <w:rsid w:val="00A147F1"/>
    <w:rsid w:val="00A54239"/>
    <w:rsid w:val="00AA16DE"/>
    <w:rsid w:val="00B049CA"/>
    <w:rsid w:val="00B13D2C"/>
    <w:rsid w:val="00B256D2"/>
    <w:rsid w:val="00B56395"/>
    <w:rsid w:val="00B85D5C"/>
    <w:rsid w:val="00BD0E59"/>
    <w:rsid w:val="00BE2F7C"/>
    <w:rsid w:val="00C45507"/>
    <w:rsid w:val="00C53BF0"/>
    <w:rsid w:val="00C81308"/>
    <w:rsid w:val="00D03BC4"/>
    <w:rsid w:val="00D45FD2"/>
    <w:rsid w:val="00D74DB6"/>
    <w:rsid w:val="00D85F64"/>
    <w:rsid w:val="00D94D40"/>
    <w:rsid w:val="00DF6617"/>
    <w:rsid w:val="00E71595"/>
    <w:rsid w:val="00E9318B"/>
    <w:rsid w:val="00F3199D"/>
    <w:rsid w:val="00F443B1"/>
    <w:rsid w:val="00F71F9E"/>
    <w:rsid w:val="00F72F78"/>
    <w:rsid w:val="00F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1A7C9"/>
  <w15:chartTrackingRefBased/>
  <w15:docId w15:val="{7FD2F912-76E0-4618-BA4B-85E9E209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D2C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9F15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D94D4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C3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vermor46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olikh@univ.kiev.u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2023-03-30T21:03:00Z</dcterms:created>
  <dcterms:modified xsi:type="dcterms:W3CDTF">2023-03-30T21:18:00Z</dcterms:modified>
</cp:coreProperties>
</file>