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F7" w:rsidRDefault="008F7E8A" w:rsidP="008F7E8A">
      <w:pPr>
        <w:ind w:left="-1276" w:right="-37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СЛАЙД 2 ------------------------------------------------------------------------------------------------------------</w:t>
      </w:r>
    </w:p>
    <w:p w:rsidR="008F7E8A" w:rsidRPr="008F7E8A" w:rsidRDefault="008F7E8A" w:rsidP="008F7E8A">
      <w:pPr>
        <w:ind w:left="-1276" w:right="-376"/>
        <w:rPr>
          <w:rFonts w:ascii="Times New Roman" w:hAnsi="Times New Roman" w:cs="Times New Roman"/>
          <w:sz w:val="28"/>
          <w:u w:val="single"/>
          <w:lang w:val="uk-UA"/>
        </w:rPr>
      </w:pPr>
      <w:r w:rsidRPr="008F7E8A">
        <w:rPr>
          <w:rFonts w:ascii="Times New Roman" w:hAnsi="Times New Roman" w:cs="Times New Roman"/>
          <w:sz w:val="28"/>
          <w:u w:val="single"/>
          <w:lang w:val="uk-UA"/>
        </w:rPr>
        <w:t>Мета та актуальність</w:t>
      </w:r>
    </w:p>
    <w:p w:rsidR="008F7E8A" w:rsidRPr="001A3F9D" w:rsidRDefault="006C2756" w:rsidP="002B69E9">
      <w:pPr>
        <w:ind w:left="-1276" w:right="-37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Сонячні елементи є важливим джерелом чистої, відновлюваної енергії, тому покращення їх ефективності та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довготривалості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є важливим </w:t>
      </w:r>
      <w:r>
        <w:rPr>
          <w:rFonts w:ascii="Times New Roman" w:hAnsi="Times New Roman" w:cs="Times New Roman"/>
          <w:sz w:val="28"/>
          <w:lang w:val="uk-UA"/>
        </w:rPr>
        <w:t xml:space="preserve">напрямком </w:t>
      </w:r>
      <w:r>
        <w:rPr>
          <w:rFonts w:ascii="Times New Roman" w:hAnsi="Times New Roman" w:cs="Times New Roman"/>
          <w:sz w:val="28"/>
          <w:lang w:val="uk-UA"/>
        </w:rPr>
        <w:t xml:space="preserve">для нас сьогодні. </w:t>
      </w:r>
      <w:r w:rsidR="002B69E9">
        <w:rPr>
          <w:rFonts w:ascii="Times New Roman" w:hAnsi="Times New Roman" w:cs="Times New Roman"/>
          <w:sz w:val="28"/>
          <w:lang w:val="uk-UA"/>
        </w:rPr>
        <w:t xml:space="preserve">Метою даної роботи є </w:t>
      </w:r>
      <w:proofErr w:type="spellStart"/>
      <w:r w:rsidR="002B69E9">
        <w:rPr>
          <w:rFonts w:ascii="Times New Roman" w:hAnsi="Times New Roman" w:cs="Times New Roman"/>
          <w:sz w:val="28"/>
          <w:lang w:val="uk-UA"/>
        </w:rPr>
        <w:t>характеризація</w:t>
      </w:r>
      <w:proofErr w:type="spellEnd"/>
      <w:r w:rsidR="002B69E9">
        <w:rPr>
          <w:rFonts w:ascii="Times New Roman" w:hAnsi="Times New Roman" w:cs="Times New Roman"/>
          <w:sz w:val="28"/>
          <w:lang w:val="uk-UA"/>
        </w:rPr>
        <w:t xml:space="preserve"> дефектного складу сонячних елементів за допомогою неруйнівних методів діагностики. Вони ґрунтуються на вимірюваннях вольт-амперних характеристик і є легкими з точки зору практичного використання. В роботі представленні результати моделювання впливу </w:t>
      </w:r>
      <w:proofErr w:type="spellStart"/>
      <w:r w:rsidR="002B69E9">
        <w:rPr>
          <w:rFonts w:ascii="Times New Roman" w:hAnsi="Times New Roman" w:cs="Times New Roman"/>
          <w:sz w:val="28"/>
          <w:lang w:val="uk-UA"/>
        </w:rPr>
        <w:t>домішкових</w:t>
      </w:r>
      <w:proofErr w:type="spellEnd"/>
      <w:r w:rsidR="002B69E9">
        <w:rPr>
          <w:rFonts w:ascii="Times New Roman" w:hAnsi="Times New Roman" w:cs="Times New Roman"/>
          <w:sz w:val="28"/>
          <w:lang w:val="uk-UA"/>
        </w:rPr>
        <w:t xml:space="preserve"> атомів заліза на зміну параметрів фотоелектричного перетворення кремнієвих сонячних елементів.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BB73A7" w:rsidRPr="00BB73A7">
        <w:rPr>
          <w:rFonts w:ascii="Times New Roman" w:hAnsi="Times New Roman"/>
          <w:sz w:val="28"/>
          <w:szCs w:val="28"/>
          <w:lang w:val="uk-UA"/>
        </w:rPr>
        <w:t>Різноманіття розглянутих параметрів та зовнішніх умов відрізняють цю роботу від низки попередніх досліджень</w:t>
      </w:r>
      <w:r w:rsidR="001A3F9D" w:rsidRPr="001A3F9D">
        <w:rPr>
          <w:rFonts w:ascii="Times New Roman" w:hAnsi="Times New Roman"/>
          <w:sz w:val="28"/>
          <w:szCs w:val="28"/>
          <w:lang w:val="uk-UA"/>
        </w:rPr>
        <w:t>.</w:t>
      </w:r>
    </w:p>
    <w:p w:rsidR="001A3F9D" w:rsidRDefault="001A3F9D" w:rsidP="002B69E9">
      <w:pPr>
        <w:ind w:left="-1276" w:right="-37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СЛАЙД 3 ------------------------------------------------------------------------------------------------------------</w:t>
      </w:r>
    </w:p>
    <w:p w:rsidR="001A3F9D" w:rsidRDefault="007E70D6" w:rsidP="002B69E9">
      <w:pPr>
        <w:ind w:left="-1276" w:right="-37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Структура сонячного елемента, яка моделювалася, наведена на слайді. При моделюванні оцінювались величини струму короткого замикання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Isc</w:t>
      </w:r>
      <w:proofErr w:type="spellEnd"/>
      <w:r w:rsidRPr="007E70D6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напруги розімкнутого кола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Voc</w:t>
      </w:r>
      <w:proofErr w:type="spellEnd"/>
      <w:r w:rsidRPr="007E70D6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фактору форми </w:t>
      </w:r>
      <w:r>
        <w:rPr>
          <w:rFonts w:ascii="Times New Roman" w:hAnsi="Times New Roman" w:cs="Times New Roman"/>
          <w:sz w:val="28"/>
          <w:lang w:val="en-US"/>
        </w:rPr>
        <w:t>FF</w:t>
      </w:r>
      <w:r w:rsidRPr="007E7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ефективності </w:t>
      </w:r>
      <w:r>
        <w:rPr>
          <w:rFonts w:ascii="Times New Roman" w:hAnsi="Times New Roman"/>
          <w:sz w:val="28"/>
          <w:szCs w:val="28"/>
          <w:lang w:val="el-GR"/>
        </w:rPr>
        <w:t>η</w:t>
      </w:r>
      <w:r w:rsidRPr="007E70D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за умов як сонячного та монохроматичного випромінювання. </w:t>
      </w:r>
      <w:r>
        <w:rPr>
          <w:rFonts w:ascii="Times New Roman" w:hAnsi="Times New Roman"/>
          <w:sz w:val="28"/>
          <w:szCs w:val="28"/>
          <w:lang w:val="en-US"/>
        </w:rPr>
        <w:t>Back</w:t>
      </w:r>
      <w:r w:rsidRPr="007E70D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surface</w:t>
      </w:r>
      <w:r w:rsidRPr="007E70D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field</w:t>
      </w:r>
      <w:r w:rsidRPr="007E70D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шар використовується для мінімізації впливу швидкості рекомбінації на напругу та струм. </w:t>
      </w:r>
    </w:p>
    <w:p w:rsidR="007E70D6" w:rsidRDefault="007E70D6" w:rsidP="002B69E9">
      <w:pPr>
        <w:ind w:left="-1276" w:right="-37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СЛАЙД 4 -----------------------------------------------------------------------------------------------------------</w:t>
      </w:r>
    </w:p>
    <w:p w:rsidR="007E70D6" w:rsidRDefault="00A97A56" w:rsidP="002B69E9">
      <w:pPr>
        <w:ind w:left="-1276" w:right="-3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7A56">
        <w:rPr>
          <w:rFonts w:ascii="Times New Roman" w:hAnsi="Times New Roman" w:cs="Times New Roman"/>
          <w:sz w:val="28"/>
          <w:lang w:val="uk-UA"/>
        </w:rPr>
        <w:t xml:space="preserve">Для моделювання використовувався програмний пакет SCAPS. Моделювання вольт-амперних характеристик проводилося в діапазоні </w:t>
      </w:r>
      <w:proofErr w:type="spellStart"/>
      <w:r w:rsidRPr="00A97A56">
        <w:rPr>
          <w:rFonts w:ascii="Times New Roman" w:hAnsi="Times New Roman" w:cs="Times New Roman"/>
          <w:sz w:val="28"/>
          <w:lang w:val="uk-UA"/>
        </w:rPr>
        <w:t>напруг</w:t>
      </w:r>
      <w:proofErr w:type="spellEnd"/>
      <w:r w:rsidRPr="00A97A56">
        <w:rPr>
          <w:rFonts w:ascii="Times New Roman" w:hAnsi="Times New Roman" w:cs="Times New Roman"/>
          <w:sz w:val="28"/>
          <w:lang w:val="uk-UA"/>
        </w:rPr>
        <w:t xml:space="preserve"> від 0 до напруги розімкнутого кола з кроком 10мВ. </w:t>
      </w:r>
      <w:r w:rsidRPr="00A97A56">
        <w:rPr>
          <w:rFonts w:ascii="Times New Roman" w:hAnsi="Times New Roman" w:cs="Times New Roman"/>
          <w:sz w:val="28"/>
          <w:szCs w:val="28"/>
          <w:lang w:val="uk-UA"/>
        </w:rPr>
        <w:t xml:space="preserve">SCAPS в автоматичному режимі враховує температурні залежності </w:t>
      </w:r>
      <w:r w:rsidR="003139EC">
        <w:rPr>
          <w:rFonts w:ascii="Times New Roman" w:hAnsi="Times New Roman" w:cs="Times New Roman"/>
          <w:sz w:val="28"/>
          <w:szCs w:val="28"/>
          <w:lang w:val="uk-UA"/>
        </w:rPr>
        <w:t xml:space="preserve">загального вигляду </w:t>
      </w:r>
      <w:r w:rsidRPr="00A97A56">
        <w:rPr>
          <w:rFonts w:ascii="Times New Roman" w:hAnsi="Times New Roman" w:cs="Times New Roman"/>
          <w:sz w:val="28"/>
          <w:szCs w:val="28"/>
          <w:lang w:val="uk-UA"/>
        </w:rPr>
        <w:t>для досить обмеженого кола параметрів матеріалу. Тому при створенні вихідного файлу для SCAPS, який описує структуру, враховувалися</w:t>
      </w:r>
      <w:r w:rsidRPr="00A97A56">
        <w:rPr>
          <w:rFonts w:ascii="Times New Roman" w:hAnsi="Times New Roman" w:cs="Times New Roman"/>
          <w:sz w:val="28"/>
          <w:szCs w:val="28"/>
          <w:lang w:val="uk-UA"/>
        </w:rPr>
        <w:t xml:space="preserve"> додатково </w:t>
      </w:r>
      <w:r>
        <w:rPr>
          <w:rFonts w:ascii="Times New Roman" w:hAnsi="Times New Roman" w:cs="Times New Roman"/>
          <w:sz w:val="28"/>
          <w:szCs w:val="28"/>
          <w:lang w:val="uk-UA"/>
        </w:rPr>
        <w:t>залежності та явища, перелічені на слайді.</w:t>
      </w:r>
    </w:p>
    <w:p w:rsidR="00117CC1" w:rsidRDefault="00117CC1" w:rsidP="002B69E9">
      <w:pPr>
        <w:ind w:left="-1276" w:right="-3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СЛАЙД 5 ------------------------------------------------------------------------------------------------------------</w:t>
      </w:r>
    </w:p>
    <w:p w:rsidR="00117CC1" w:rsidRDefault="00DE0F9F" w:rsidP="002B69E9">
      <w:pPr>
        <w:ind w:left="-1276" w:right="-376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117CC1">
        <w:rPr>
          <w:rFonts w:ascii="Times New Roman" w:hAnsi="Times New Roman" w:cs="Times New Roman"/>
          <w:sz w:val="28"/>
          <w:szCs w:val="28"/>
          <w:lang w:val="uk-UA"/>
        </w:rPr>
        <w:t xml:space="preserve">напруги холостого ходу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можемо спостерігати залежність характеру відносної зміни </w:t>
      </w:r>
      <w:r w:rsidR="00F24F8E">
        <w:rPr>
          <w:rFonts w:ascii="Times New Roman" w:hAnsi="Times New Roman" w:cs="Times New Roman"/>
          <w:sz w:val="28"/>
          <w:szCs w:val="28"/>
          <w:lang w:val="uk-UA"/>
        </w:rPr>
        <w:t>від місця генерації надлишкових носіїв</w:t>
      </w:r>
      <w:r w:rsidR="00F24F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при низьких рівнях</w:t>
      </w:r>
      <w:r w:rsidR="00EB5368">
        <w:rPr>
          <w:rFonts w:ascii="Times New Roman" w:hAnsi="Times New Roman" w:cs="Times New Roman"/>
          <w:sz w:val="28"/>
          <w:szCs w:val="28"/>
          <w:lang w:val="uk-UA"/>
        </w:rPr>
        <w:t xml:space="preserve"> легування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Для сонячного випромінювання </w:t>
      </w:r>
      <w:r w:rsidR="002876A1">
        <w:rPr>
          <w:rFonts w:ascii="Times New Roman" w:hAnsi="Times New Roman" w:cs="Times New Roman"/>
          <w:sz w:val="28"/>
          <w:szCs w:val="28"/>
          <w:lang w:val="uk-UA"/>
        </w:rPr>
        <w:t>бачимо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великі зміни напруги холостого ходу в інтервалі концентрацій заліза від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5×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12</m:t>
            </m:r>
          </m:sup>
        </m:sSup>
      </m:oMath>
      <w:r w:rsidR="002876A1">
        <w:rPr>
          <w:rFonts w:ascii="Times New Roman" w:eastAsiaTheme="minorEastAsia" w:hAnsi="Times New Roman" w:cs="Times New Roman"/>
          <w:sz w:val="28"/>
          <w:szCs w:val="28"/>
          <w:lang w:val="uk-UA"/>
        </w:rPr>
        <w:t>. Для монохромати</w:t>
      </w:r>
      <w:r w:rsidR="007004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чного випромінювання такі зміни відбуваються вже при більш високих концентраціях заліза. Для концентрації бору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16</m:t>
            </m:r>
          </m:sup>
        </m:sSup>
      </m:oMath>
      <w:r w:rsidR="007004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відносні зміни напруги холостого ходу дуже малі, але характер залежності змінюється при збільшенні рівня легування. </w:t>
      </w:r>
      <w:r w:rsidR="00F24F8E">
        <w:rPr>
          <w:rFonts w:ascii="Times New Roman" w:eastAsiaTheme="minorEastAsia" w:hAnsi="Times New Roman" w:cs="Times New Roman"/>
          <w:sz w:val="28"/>
          <w:szCs w:val="28"/>
          <w:lang w:val="uk-UA"/>
        </w:rPr>
        <w:t>Максимальна величина зміни для монохроматичного випромінювання</w:t>
      </w:r>
      <w:r w:rsidR="00EB536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майже</w:t>
      </w:r>
      <w:r w:rsidR="00F24F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C8635D">
        <w:rPr>
          <w:rFonts w:ascii="Times New Roman" w:eastAsiaTheme="minorEastAsia" w:hAnsi="Times New Roman" w:cs="Times New Roman"/>
          <w:sz w:val="28"/>
          <w:szCs w:val="28"/>
          <w:lang w:val="uk-UA"/>
        </w:rPr>
        <w:t>в 2 рази більша н</w:t>
      </w:r>
      <w:r w:rsidR="00EB5368">
        <w:rPr>
          <w:rFonts w:ascii="Times New Roman" w:eastAsiaTheme="minorEastAsia" w:hAnsi="Times New Roman" w:cs="Times New Roman"/>
          <w:sz w:val="28"/>
          <w:szCs w:val="28"/>
          <w:lang w:val="uk-UA"/>
        </w:rPr>
        <w:t>іж для сонячного випромінювання.</w:t>
      </w:r>
    </w:p>
    <w:p w:rsidR="00C8635D" w:rsidRDefault="00C8635D" w:rsidP="002B69E9">
      <w:pPr>
        <w:ind w:left="-1276" w:right="-376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СЛАЙД 6 ------------------------------------------------------------------------------------------------------------</w:t>
      </w:r>
    </w:p>
    <w:p w:rsidR="00C8635D" w:rsidRDefault="004941A4" w:rsidP="002B69E9">
      <w:pPr>
        <w:ind w:left="-1276" w:right="-376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Як можна бачити зміна товщини бази впливає суттєво на характер зміни напруги розімкнутого кола тільки при</w:t>
      </w:r>
      <w:r w:rsidR="00724D59">
        <w:rPr>
          <w:rFonts w:ascii="Times New Roman" w:hAnsi="Times New Roman" w:cs="Times New Roman"/>
          <w:sz w:val="28"/>
          <w:lang w:val="uk-UA"/>
        </w:rPr>
        <w:t xml:space="preserve"> низьких рівнях легування </w:t>
      </w:r>
      <w:r>
        <w:rPr>
          <w:rFonts w:ascii="Times New Roman" w:hAnsi="Times New Roman" w:cs="Times New Roman"/>
          <w:sz w:val="28"/>
          <w:lang w:val="uk-UA"/>
        </w:rPr>
        <w:t xml:space="preserve">і більш помітна для сонячного освітлення. Зі збільшенням рівня легування залежність від товщини бази зникає. </w:t>
      </w:r>
    </w:p>
    <w:p w:rsidR="002B6214" w:rsidRDefault="002B6214" w:rsidP="002B69E9">
      <w:pPr>
        <w:ind w:left="-1276" w:right="-376"/>
        <w:jc w:val="both"/>
        <w:rPr>
          <w:rFonts w:ascii="Times New Roman" w:hAnsi="Times New Roman" w:cs="Times New Roman"/>
          <w:sz w:val="28"/>
          <w:lang w:val="uk-UA"/>
        </w:rPr>
      </w:pPr>
    </w:p>
    <w:p w:rsidR="002B6214" w:rsidRDefault="002B6214" w:rsidP="002B69E9">
      <w:pPr>
        <w:ind w:left="-1276" w:right="-376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СЛАЙД 7 ------------------------------------------------------------------------------------------------------------</w:t>
      </w:r>
    </w:p>
    <w:p w:rsidR="002B6214" w:rsidRDefault="00E07263" w:rsidP="002B69E9">
      <w:pPr>
        <w:ind w:left="-1276" w:right="-376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Подібний характер змін спостерігається і для фактору форми. Проте абсолютні зміни менші.</w:t>
      </w:r>
      <w:r w:rsidR="00AA47FB">
        <w:rPr>
          <w:rFonts w:ascii="Times New Roman" w:hAnsi="Times New Roman" w:cs="Times New Roman"/>
          <w:sz w:val="28"/>
          <w:lang w:val="uk-UA"/>
        </w:rPr>
        <w:t xml:space="preserve"> Для сонячного освітлення спостерігаються великі додатні зміни фактору форми при низькому рівні легування бором (від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15</m:t>
            </m:r>
          </m:sup>
        </m:sSup>
      </m:oMath>
      <w:r w:rsidR="00AA47FB">
        <w:rPr>
          <w:rFonts w:ascii="Times New Roman" w:eastAsiaTheme="minorEastAsia" w:hAnsi="Times New Roman" w:cs="Times New Roman"/>
          <w:sz w:val="28"/>
          <w:lang w:val="uk-UA"/>
        </w:rPr>
        <w:t xml:space="preserve"> до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16</m:t>
            </m:r>
          </m:sup>
        </m:sSup>
      </m:oMath>
      <w:r w:rsidR="00AA47FB">
        <w:rPr>
          <w:rFonts w:ascii="Times New Roman" w:eastAsiaTheme="minorEastAsia" w:hAnsi="Times New Roman" w:cs="Times New Roman"/>
          <w:sz w:val="28"/>
          <w:lang w:val="uk-UA"/>
        </w:rPr>
        <w:t xml:space="preserve">). Зі збільшенням легування відносна зміна фактору форми </w:t>
      </w:r>
      <w:r w:rsidR="00EA5495">
        <w:rPr>
          <w:rFonts w:ascii="Times New Roman" w:eastAsiaTheme="minorEastAsia" w:hAnsi="Times New Roman" w:cs="Times New Roman"/>
          <w:sz w:val="28"/>
          <w:lang w:val="uk-UA"/>
        </w:rPr>
        <w:t>значно зменшується</w:t>
      </w:r>
      <w:r w:rsidR="00AA47FB">
        <w:rPr>
          <w:rFonts w:ascii="Times New Roman" w:eastAsiaTheme="minorEastAsia" w:hAnsi="Times New Roman" w:cs="Times New Roman"/>
          <w:sz w:val="28"/>
          <w:lang w:val="uk-UA"/>
        </w:rPr>
        <w:t xml:space="preserve">. Для монохроматичного освітлення спостерігається вже інший характер залежності: зміна фактору форми слабко залежить від рівня легування, а абсолютне значення відносної зміни складає всього 5% </w:t>
      </w:r>
      <w:r w:rsidR="00EA5495"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:rsidR="00EA5495" w:rsidRDefault="00EA5495" w:rsidP="007E48E4">
      <w:pPr>
        <w:ind w:left="-1276" w:right="-376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СЛАЙД 8 -----------------------------------------------------------------------------</w:t>
      </w:r>
      <w:r w:rsidR="007E48E4">
        <w:rPr>
          <w:rFonts w:ascii="Times New Roman" w:eastAsiaTheme="minorEastAsia" w:hAnsi="Times New Roman" w:cs="Times New Roman"/>
          <w:sz w:val="28"/>
          <w:lang w:val="uk-UA"/>
        </w:rPr>
        <w:t>-------------------------------</w:t>
      </w:r>
    </w:p>
    <w:p w:rsidR="007E48E4" w:rsidRDefault="007E48E4" w:rsidP="007E48E4">
      <w:pPr>
        <w:ind w:left="-1276" w:right="-376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Суттєвий вплив товщини бази для фактору заповнення так само як і для напруги розімкнутого кола спостерігається при низькому рівні легування бором, причому при сонячному освітленні цей вплив більш помітний, ніж для монохроматичного освітлення.</w:t>
      </w:r>
    </w:p>
    <w:p w:rsidR="007E48E4" w:rsidRDefault="007E48E4" w:rsidP="007E48E4">
      <w:pPr>
        <w:ind w:left="-1276" w:right="-376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СЛАЙД 9 ------------------------------------------------------------------------------------------------------------</w:t>
      </w:r>
    </w:p>
    <w:p w:rsidR="007E48E4" w:rsidRDefault="003518A7" w:rsidP="007E48E4">
      <w:pPr>
        <w:ind w:left="-1276" w:right="-376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Для </w:t>
      </w:r>
      <w:r w:rsidR="00B11F96">
        <w:rPr>
          <w:rFonts w:ascii="Times New Roman" w:eastAsiaTheme="minorEastAsia" w:hAnsi="Times New Roman" w:cs="Times New Roman"/>
          <w:sz w:val="28"/>
          <w:lang w:val="uk-UA"/>
        </w:rPr>
        <w:t>параметру Ефективності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очікуються також монотонні зміни при зростанні концентрації заліза. Для концентрації бору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lang w:val="uk-UA"/>
        </w:rPr>
        <w:t xml:space="preserve"> ці зміни додатні, при більш високих рівнях легування – від’</w:t>
      </w:r>
      <w:r w:rsidR="00826AD6">
        <w:rPr>
          <w:rFonts w:ascii="Times New Roman" w:eastAsiaTheme="minorEastAsia" w:hAnsi="Times New Roman" w:cs="Times New Roman"/>
          <w:sz w:val="28"/>
          <w:lang w:val="uk-UA"/>
        </w:rPr>
        <w:t xml:space="preserve">ємні, які слабко залежать від температури. При монохроматичному освітленні відносна зміна </w:t>
      </w:r>
      <w:r w:rsidR="00B11F96">
        <w:rPr>
          <w:rFonts w:ascii="Times New Roman" w:eastAsiaTheme="minorEastAsia" w:hAnsi="Times New Roman" w:cs="Times New Roman"/>
          <w:sz w:val="28"/>
          <w:lang w:val="uk-UA"/>
        </w:rPr>
        <w:t>ефективності стає помітною</w:t>
      </w:r>
      <w:r w:rsidR="00826AD6">
        <w:rPr>
          <w:rFonts w:ascii="Times New Roman" w:eastAsiaTheme="minorEastAsia" w:hAnsi="Times New Roman" w:cs="Times New Roman"/>
          <w:sz w:val="28"/>
          <w:lang w:val="uk-UA"/>
        </w:rPr>
        <w:t xml:space="preserve"> тільки при високому рівні легування, хоча порівнюючи з сонячним освітленням абсолютні максимальні значення зміни майже в 4</w:t>
      </w:r>
      <w:r w:rsidR="00BB54EF">
        <w:rPr>
          <w:rFonts w:ascii="Times New Roman" w:eastAsiaTheme="minorEastAsia" w:hAnsi="Times New Roman" w:cs="Times New Roman"/>
          <w:sz w:val="28"/>
          <w:lang w:val="uk-UA"/>
        </w:rPr>
        <w:t xml:space="preserve"> рази більші і досягають більше ніж 200 %.</w:t>
      </w:r>
    </w:p>
    <w:p w:rsidR="00BB54EF" w:rsidRDefault="00BB54EF" w:rsidP="007E48E4">
      <w:pPr>
        <w:ind w:left="-1276" w:right="-376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СЛАЙД 10 -----------------------------------------------------------------------------------------------------------</w:t>
      </w:r>
    </w:p>
    <w:p w:rsidR="00BB54EF" w:rsidRDefault="00B11F96" w:rsidP="007E48E4">
      <w:pPr>
        <w:ind w:left="-1276" w:right="-376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Як можемо бачити характер відносної зміни ефективності не залежить від товщини бази.</w:t>
      </w:r>
    </w:p>
    <w:p w:rsidR="00B11F96" w:rsidRDefault="00B11F96" w:rsidP="007E48E4">
      <w:pPr>
        <w:ind w:left="-1276" w:right="-376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СЛАЙД 11 -----------------------------------------------------------------------------------------------------------</w:t>
      </w:r>
    </w:p>
    <w:p w:rsidR="00B11F96" w:rsidRDefault="00607266" w:rsidP="007E48E4">
      <w:pPr>
        <w:ind w:left="-1276" w:right="-376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Відносна зміна струму короткого замикання має такий самий характер, як і відносна зміна ефективності, але максимальні абсолютні відносні зміни менші. Для сонячного освітлення мова йде про 41%, а для монохроматичного освітлення 170%. </w:t>
      </w:r>
    </w:p>
    <w:p w:rsidR="00607266" w:rsidRDefault="00607266" w:rsidP="007E48E4">
      <w:pPr>
        <w:ind w:left="-1276" w:right="-376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СЛАЙД 12 -----------------------------------------------------------------------------------------------------------</w:t>
      </w:r>
    </w:p>
    <w:p w:rsidR="00607266" w:rsidRPr="00607266" w:rsidRDefault="00607266" w:rsidP="007E48E4">
      <w:pPr>
        <w:ind w:left="-1276" w:right="-376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Зміни струму короткого замикання та ефективності в кремнієвому сонячному елементі після розпаду пар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FeB</w:t>
      </w:r>
      <w:proofErr w:type="spellEnd"/>
      <w:r w:rsidRPr="00607266">
        <w:rPr>
          <w:rFonts w:ascii="Times New Roman" w:eastAsiaTheme="minorEastAsia" w:hAnsi="Times New Roman" w:cs="Times New Roman"/>
          <w:sz w:val="28"/>
          <w:lang w:val="uk-UA"/>
        </w:rPr>
        <w:t xml:space="preserve">, на відміну від змін напруги розімкнутого кола та фактору форми, можуть бути основою для оцінки концентрації заліза. </w:t>
      </w:r>
      <w:r>
        <w:rPr>
          <w:rFonts w:ascii="Times New Roman" w:eastAsiaTheme="minorEastAsia" w:hAnsi="Times New Roman" w:cs="Times New Roman"/>
          <w:sz w:val="28"/>
          <w:lang w:val="uk-UA"/>
        </w:rPr>
        <w:t>Зміни напруги розімкнутого кола можуть бути лише додатковим параметром, використання якого спрямоване на підвищення точнос</w:t>
      </w:r>
      <w:r w:rsidR="00AE6778">
        <w:rPr>
          <w:rFonts w:ascii="Times New Roman" w:eastAsiaTheme="minorEastAsia" w:hAnsi="Times New Roman" w:cs="Times New Roman"/>
          <w:sz w:val="28"/>
          <w:lang w:val="uk-UA"/>
        </w:rPr>
        <w:t xml:space="preserve">ті відповідного методу. Проблема </w:t>
      </w:r>
      <w:proofErr w:type="spellStart"/>
      <w:r w:rsidR="00AE6778">
        <w:rPr>
          <w:rFonts w:ascii="Times New Roman" w:eastAsiaTheme="minorEastAsia" w:hAnsi="Times New Roman" w:cs="Times New Roman"/>
          <w:sz w:val="28"/>
          <w:lang w:val="uk-UA"/>
        </w:rPr>
        <w:t>багатопараметричності</w:t>
      </w:r>
      <w:proofErr w:type="spellEnd"/>
      <w:r w:rsidR="00AE6778" w:rsidRPr="00AE6778">
        <w:rPr>
          <w:rFonts w:ascii="Times New Roman" w:eastAsiaTheme="minorEastAsia" w:hAnsi="Times New Roman" w:cs="Times New Roman"/>
          <w:sz w:val="36"/>
          <w:lang w:val="uk-UA"/>
        </w:rPr>
        <w:t xml:space="preserve"> </w:t>
      </w:r>
      <w:r w:rsidR="00AE6778" w:rsidRPr="00AE6778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взаємозв’язку концентрації рекомбінаційних центрів та параметрів </w:t>
      </w:r>
      <w:r w:rsidR="00AE6778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вольт-амперних характеристик можна вирішити за допомогою глибокого машинного навчання, що не потребує чіткої алгоритмізації. Аналіз інформативності фотоелектричних параметрів, який був розглянутий в цій роботі, допоможе збільшити ефективність прогнозування концентрації заліза методами машинного навчання. </w:t>
      </w:r>
      <w:bookmarkStart w:id="0" w:name="_GoBack"/>
      <w:bookmarkEnd w:id="0"/>
    </w:p>
    <w:sectPr w:rsidR="00607266" w:rsidRPr="00607266" w:rsidSect="008F7E8A">
      <w:pgSz w:w="12240" w:h="15840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D6"/>
    <w:rsid w:val="00060ECF"/>
    <w:rsid w:val="000D56B5"/>
    <w:rsid w:val="00117CC1"/>
    <w:rsid w:val="001A3F9D"/>
    <w:rsid w:val="002876A1"/>
    <w:rsid w:val="002B6214"/>
    <w:rsid w:val="002B69E9"/>
    <w:rsid w:val="003139EC"/>
    <w:rsid w:val="003518A7"/>
    <w:rsid w:val="004941A4"/>
    <w:rsid w:val="00607266"/>
    <w:rsid w:val="006C2756"/>
    <w:rsid w:val="006E7FD6"/>
    <w:rsid w:val="007004DF"/>
    <w:rsid w:val="00706332"/>
    <w:rsid w:val="00724D59"/>
    <w:rsid w:val="007E48E4"/>
    <w:rsid w:val="007E70D6"/>
    <w:rsid w:val="008178BD"/>
    <w:rsid w:val="00826AD6"/>
    <w:rsid w:val="008F7E8A"/>
    <w:rsid w:val="00A97A56"/>
    <w:rsid w:val="00AA47FB"/>
    <w:rsid w:val="00AE6778"/>
    <w:rsid w:val="00B11F96"/>
    <w:rsid w:val="00BB54EF"/>
    <w:rsid w:val="00BB73A7"/>
    <w:rsid w:val="00C8635D"/>
    <w:rsid w:val="00DE0F9F"/>
    <w:rsid w:val="00E07263"/>
    <w:rsid w:val="00E303FF"/>
    <w:rsid w:val="00EA5495"/>
    <w:rsid w:val="00EB5368"/>
    <w:rsid w:val="00F2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9BB2"/>
  <w15:chartTrackingRefBased/>
  <w15:docId w15:val="{96C498A2-7845-4A20-BC41-8DCFFBF9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0F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2023-05-12T14:40:00Z</dcterms:created>
  <dcterms:modified xsi:type="dcterms:W3CDTF">2023-05-13T23:35:00Z</dcterms:modified>
</cp:coreProperties>
</file>