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98" w:rsidRPr="00437598" w:rsidRDefault="00437598" w:rsidP="00437598">
      <w:pPr>
        <w:rPr>
          <w:szCs w:val="24"/>
        </w:rPr>
      </w:pPr>
      <w:r w:rsidRPr="00437598">
        <w:rPr>
          <w:szCs w:val="24"/>
        </w:rPr>
        <w:t xml:space="preserve">Розробка методів </w:t>
      </w:r>
      <w:proofErr w:type="spellStart"/>
      <w:r w:rsidRPr="00437598">
        <w:rPr>
          <w:szCs w:val="24"/>
        </w:rPr>
        <w:t>акусто-керованої</w:t>
      </w:r>
      <w:proofErr w:type="spellEnd"/>
      <w:r w:rsidRPr="00437598">
        <w:rPr>
          <w:szCs w:val="24"/>
        </w:rPr>
        <w:t xml:space="preserve"> модифікації та машинно-орієнтованої </w:t>
      </w:r>
      <w:proofErr w:type="spellStart"/>
      <w:r w:rsidRPr="00437598">
        <w:rPr>
          <w:szCs w:val="24"/>
        </w:rPr>
        <w:t>характеризації</w:t>
      </w:r>
      <w:proofErr w:type="spellEnd"/>
      <w:r w:rsidRPr="00437598">
        <w:rPr>
          <w:szCs w:val="24"/>
        </w:rPr>
        <w:t xml:space="preserve"> кремнієвих сонячних елементів.</w:t>
      </w:r>
    </w:p>
    <w:p w:rsidR="00C0038F" w:rsidRDefault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8. Спеціальність (обирається з переліку наукових спеціальностей МОН) (для  </w:t>
      </w:r>
      <w:proofErr w:type="spellStart"/>
      <w:r w:rsidRPr="009459BB">
        <w:rPr>
          <w:b/>
          <w:szCs w:val="24"/>
        </w:rPr>
        <w:t>мультидисциплінарних</w:t>
      </w:r>
      <w:proofErr w:type="spellEnd"/>
      <w:r w:rsidRPr="009459BB">
        <w:rPr>
          <w:b/>
          <w:szCs w:val="24"/>
        </w:rPr>
        <w:t xml:space="preserve"> </w:t>
      </w:r>
      <w:proofErr w:type="spellStart"/>
      <w:r w:rsidRPr="009459BB">
        <w:rPr>
          <w:b/>
          <w:szCs w:val="24"/>
        </w:rPr>
        <w:t>проєктів</w:t>
      </w:r>
      <w:proofErr w:type="spellEnd"/>
      <w:r w:rsidRPr="009459BB">
        <w:rPr>
          <w:b/>
          <w:szCs w:val="24"/>
        </w:rPr>
        <w:t xml:space="preserve"> інформація наводиться в порядку від основної спеціальності до факультативної) </w:t>
      </w:r>
    </w:p>
    <w:p w:rsidR="00C677D5" w:rsidRDefault="00C677D5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104 - </w:t>
      </w:r>
      <w:proofErr w:type="spellStart"/>
      <w:r w:rsidRPr="00A01BD0">
        <w:rPr>
          <w:szCs w:val="24"/>
        </w:rPr>
        <w:t>Фізика та аст</w:t>
      </w:r>
      <w:proofErr w:type="spellEnd"/>
      <w:r w:rsidRPr="00A01BD0">
        <w:rPr>
          <w:szCs w:val="24"/>
        </w:rPr>
        <w:t>рономія</w:t>
      </w:r>
    </w:p>
    <w:p w:rsidR="00C0038F" w:rsidRDefault="00C677D5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(01.04.07 </w:t>
      </w:r>
      <w:r>
        <w:rPr>
          <w:rStyle w:val="rvts0"/>
        </w:rPr>
        <w:t>Фізика твердого тіла</w:t>
      </w:r>
      <w:r>
        <w:rPr>
          <w:szCs w:val="24"/>
        </w:rPr>
        <w:t>)</w:t>
      </w:r>
    </w:p>
    <w:p w:rsidR="00C677D5" w:rsidRPr="00C0038F" w:rsidRDefault="00C677D5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 Стисла інформація про зміст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. </w:t>
      </w: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9.1 </w:t>
      </w:r>
      <w:r w:rsidRPr="009459BB">
        <w:rPr>
          <w:rFonts w:cs="Times New Roman"/>
          <w:b/>
          <w:szCs w:val="24"/>
        </w:rPr>
        <w:t>Анотація</w:t>
      </w:r>
      <w:r w:rsidRPr="009459BB">
        <w:rPr>
          <w:b/>
          <w:szCs w:val="24"/>
        </w:rPr>
        <w:t xml:space="preserve"> </w:t>
      </w:r>
      <w:proofErr w:type="spellStart"/>
      <w:r w:rsidRPr="009459BB">
        <w:rPr>
          <w:rFonts w:cs="Times New Roman"/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(</w:t>
      </w:r>
      <w:r w:rsidRPr="009459BB">
        <w:rPr>
          <w:rFonts w:cs="Times New Roman"/>
          <w:b/>
          <w:szCs w:val="24"/>
        </w:rPr>
        <w:t>українською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та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англійською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мовами</w:t>
      </w:r>
      <w:r w:rsidRPr="009459BB">
        <w:rPr>
          <w:b/>
          <w:szCs w:val="24"/>
        </w:rPr>
        <w:t xml:space="preserve">, </w:t>
      </w:r>
      <w:r w:rsidRPr="009459BB">
        <w:rPr>
          <w:rFonts w:cs="Times New Roman"/>
          <w:b/>
          <w:szCs w:val="24"/>
        </w:rPr>
        <w:t>до</w:t>
      </w:r>
      <w:r w:rsidRPr="009459BB">
        <w:rPr>
          <w:b/>
          <w:szCs w:val="24"/>
        </w:rPr>
        <w:t xml:space="preserve"> 1000 </w:t>
      </w:r>
      <w:r w:rsidRPr="009459BB">
        <w:rPr>
          <w:rFonts w:cs="Times New Roman"/>
          <w:b/>
          <w:szCs w:val="24"/>
        </w:rPr>
        <w:t>знаків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кожною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–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для</w:t>
      </w:r>
      <w:r w:rsidRPr="009459BB">
        <w:rPr>
          <w:b/>
          <w:szCs w:val="24"/>
        </w:rPr>
        <w:t xml:space="preserve"> оприлюднення на сайті) </w:t>
      </w:r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__________________________________________________________________________  </w:t>
      </w: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9.2. Короткий опис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(українською та англійською мовами, до 5000 знаків кожною) </w:t>
      </w:r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_____________________________________________________________________________ </w:t>
      </w:r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10.  Ключові слова (українською та англійською мовами, від 5 до 10 слів кожною) </w:t>
      </w:r>
    </w:p>
    <w:p w:rsidR="00C0038F" w:rsidRPr="009459BB" w:rsidRDefault="009459BB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Кремній, сонячні елементи, ультразвук, рекомбінаційні центри, вольт-амперні характеристики, глибоке навчання, фактор неідеальності</w:t>
      </w:r>
      <w:r>
        <w:rPr>
          <w:szCs w:val="24"/>
          <w:lang w:val="en-US"/>
        </w:rPr>
        <w:t xml:space="preserve">, </w:t>
      </w:r>
      <w:proofErr w:type="spellStart"/>
      <w:r>
        <w:rPr>
          <w:szCs w:val="24"/>
        </w:rPr>
        <w:t>акусто-дефектна</w:t>
      </w:r>
      <w:proofErr w:type="spellEnd"/>
      <w:r>
        <w:rPr>
          <w:szCs w:val="24"/>
        </w:rPr>
        <w:t xml:space="preserve"> взаємодія</w:t>
      </w:r>
    </w:p>
    <w:p w:rsidR="009459BB" w:rsidRPr="009459BB" w:rsidRDefault="009459BB" w:rsidP="00C0038F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Silicon, solar cells, ultrasound, recombination centers, current-voltage characteristics, deep learning, ideality factor, </w:t>
      </w:r>
      <w:proofErr w:type="spellStart"/>
      <w:r>
        <w:rPr>
          <w:szCs w:val="24"/>
          <w:lang w:val="en-US"/>
        </w:rPr>
        <w:t>acousto</w:t>
      </w:r>
      <w:proofErr w:type="spellEnd"/>
      <w:r>
        <w:rPr>
          <w:szCs w:val="24"/>
          <w:lang w:val="en-US"/>
        </w:rPr>
        <w:t>-defect interaction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11. Тривалість виконання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(українською та англійською мовами):</w:t>
      </w:r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дворічний </w:t>
      </w:r>
      <w:proofErr w:type="spellStart"/>
      <w:r w:rsidRPr="00C0038F">
        <w:rPr>
          <w:szCs w:val="24"/>
        </w:rPr>
        <w:t>проєкт</w:t>
      </w:r>
      <w:proofErr w:type="spellEnd"/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12. Загальна вартість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, грн. 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_____________________________________________________________________________ </w:t>
      </w: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 Вартість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по роках, грн.: 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t xml:space="preserve">1-й рік_______________________________________________________________ 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lastRenderedPageBreak/>
        <w:t xml:space="preserve">2-й рік_______________________________________________________________ </w:t>
      </w:r>
    </w:p>
    <w:p w:rsidR="00C0038F" w:rsidRDefault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437598" w:rsidRPr="00437598" w:rsidRDefault="00437598" w:rsidP="00437598">
      <w:pPr>
        <w:rPr>
          <w:szCs w:val="24"/>
        </w:rPr>
      </w:pPr>
    </w:p>
    <w:p w:rsidR="00437598" w:rsidRPr="00437598" w:rsidRDefault="00437598" w:rsidP="00437598">
      <w:pPr>
        <w:rPr>
          <w:b/>
          <w:szCs w:val="24"/>
        </w:rPr>
      </w:pPr>
      <w:r w:rsidRPr="00437598">
        <w:rPr>
          <w:b/>
          <w:szCs w:val="24"/>
        </w:rPr>
        <w:t>1. Мета проекту (до 500 знаків)</w:t>
      </w:r>
    </w:p>
    <w:p w:rsidR="00437598" w:rsidRPr="00437598" w:rsidRDefault="00437598" w:rsidP="00437598">
      <w:r w:rsidRPr="00437598">
        <w:t xml:space="preserve">Розробка фізичних засад методу </w:t>
      </w:r>
      <w:proofErr w:type="spellStart"/>
      <w:r w:rsidRPr="00437598">
        <w:t>акустостимульованої</w:t>
      </w:r>
      <w:proofErr w:type="spellEnd"/>
      <w:r w:rsidRPr="00437598">
        <w:t xml:space="preserve"> </w:t>
      </w:r>
      <w:proofErr w:type="spellStart"/>
      <w:r w:rsidRPr="00437598">
        <w:t>деактивації</w:t>
      </w:r>
      <w:proofErr w:type="spellEnd"/>
      <w:r w:rsidRPr="00437598">
        <w:t xml:space="preserve"> дефектів, пов’язаних з атомами перехідних металів, у монокристалічних кремнієвих сонячних елементах (КСЕ) з метою покращення експлуатаційних характеристик (ефективності, </w:t>
      </w:r>
      <w:proofErr w:type="spellStart"/>
      <w:r w:rsidRPr="00437598">
        <w:t>світлодеградаційної</w:t>
      </w:r>
      <w:proofErr w:type="spellEnd"/>
      <w:r w:rsidRPr="00437598">
        <w:t xml:space="preserve"> стійкості). Розробка експрес-методу оцінки концентрації електрично-активних центрів у кремнієвих бар’єрних структурах на основі вимірювання вольт-амперних характеристик з використанням методів глибокого навчання.</w:t>
      </w:r>
    </w:p>
    <w:p w:rsidR="00437598" w:rsidRPr="00437598" w:rsidRDefault="00437598" w:rsidP="00437598">
      <w:pPr>
        <w:rPr>
          <w:szCs w:val="24"/>
        </w:rPr>
      </w:pPr>
    </w:p>
    <w:p w:rsidR="00437598" w:rsidRPr="00437598" w:rsidRDefault="00437598" w:rsidP="00437598">
      <w:pPr>
        <w:rPr>
          <w:b/>
          <w:szCs w:val="24"/>
        </w:rPr>
      </w:pPr>
      <w:r w:rsidRPr="00437598">
        <w:rPr>
          <w:b/>
          <w:szCs w:val="24"/>
        </w:rPr>
        <w:t xml:space="preserve">2. Основні завдання </w:t>
      </w:r>
      <w:proofErr w:type="spellStart"/>
      <w:r w:rsidRPr="00437598">
        <w:rPr>
          <w:b/>
          <w:szCs w:val="24"/>
        </w:rPr>
        <w:t>проєкту</w:t>
      </w:r>
      <w:proofErr w:type="spellEnd"/>
      <w:r w:rsidRPr="00437598">
        <w:rPr>
          <w:b/>
          <w:szCs w:val="24"/>
        </w:rPr>
        <w:t xml:space="preserve"> (до 1000 знаків)</w:t>
      </w:r>
    </w:p>
    <w:p w:rsidR="00437598" w:rsidRPr="00437598" w:rsidRDefault="00437598" w:rsidP="00437598">
      <w:pPr>
        <w:rPr>
          <w:szCs w:val="24"/>
        </w:rPr>
      </w:pPr>
      <w:r w:rsidRPr="00437598">
        <w:rPr>
          <w:szCs w:val="24"/>
        </w:rPr>
        <w:t xml:space="preserve">Розробити методику оцінювання кінетичних характеристик перебудови дефектів у бар’єрних структурах в умовах ультразвукового навантаження. Встановити фізичні закономірності та механізми впливу акустичних хвиль на процес перебудови дефектних комплексів, пов’язаних із атомами перехідних металів, у КСЕ залежно від температури, інтенсивності та типу коливань. </w:t>
      </w:r>
    </w:p>
    <w:p w:rsidR="00437598" w:rsidRPr="00437598" w:rsidRDefault="00437598" w:rsidP="00437598">
      <w:pPr>
        <w:rPr>
          <w:rFonts w:eastAsia="Times New Roman" w:cs="Times New Roman"/>
          <w:b/>
          <w:szCs w:val="24"/>
          <w:lang w:val="en-US"/>
        </w:rPr>
      </w:pPr>
      <w:r w:rsidRPr="00437598">
        <w:rPr>
          <w:szCs w:val="24"/>
        </w:rPr>
        <w:t>Шляхом моделювання з’ясувати вплив геометричних особливостей, ступеню легування та наявності різних типів дефектів на особливості формування вольт-амперних характеристик типових кремнієвих сонячних елементів в широкому температурному діапазоні. Використовуючи методи глибокого навчання, встановити взаємозв’язок між величиною фактору неідеальності та концентрацією рекомбінаційних центрів. Запропонувати метод кількісної оцінки електрично-активних дефектів у бар’єрних структурах за величиною фактору неідеальності.</w:t>
      </w:r>
    </w:p>
    <w:p w:rsidR="00437598" w:rsidRDefault="00437598">
      <w:pPr>
        <w:rPr>
          <w:rFonts w:eastAsia="Times New Roman" w:cs="Times New Roman"/>
          <w:b/>
          <w:szCs w:val="24"/>
          <w:lang w:val="en-US"/>
        </w:rPr>
      </w:pPr>
    </w:p>
    <w:p w:rsidR="00437598" w:rsidRPr="00D42832" w:rsidRDefault="00437598" w:rsidP="00D42832">
      <w:pPr>
        <w:ind w:firstLine="0"/>
        <w:rPr>
          <w:rFonts w:eastAsia="Times New Roman" w:cs="Times New Roman"/>
          <w:b/>
          <w:szCs w:val="24"/>
          <w:lang w:val="en-US"/>
        </w:rPr>
      </w:pPr>
      <w:bookmarkStart w:id="0" w:name="_GoBack"/>
      <w:bookmarkEnd w:id="0"/>
    </w:p>
    <w:sectPr w:rsidR="00437598" w:rsidRPr="00D42832" w:rsidSect="00C540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E64" w:rsidRDefault="00820E64" w:rsidP="00C540BD">
      <w:pPr>
        <w:spacing w:line="240" w:lineRule="auto"/>
      </w:pPr>
      <w:r>
        <w:separator/>
      </w:r>
    </w:p>
  </w:endnote>
  <w:endnote w:type="continuationSeparator" w:id="0">
    <w:p w:rsidR="00820E64" w:rsidRDefault="00820E64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E64" w:rsidRDefault="00820E64" w:rsidP="00C540BD">
      <w:pPr>
        <w:spacing w:line="240" w:lineRule="auto"/>
      </w:pPr>
      <w:r>
        <w:separator/>
      </w:r>
    </w:p>
  </w:footnote>
  <w:footnote w:type="continuationSeparator" w:id="0">
    <w:p w:rsidR="00820E64" w:rsidRDefault="00820E64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Конкурс </w:t>
    </w:r>
    <w:proofErr w:type="spellStart"/>
    <w:r w:rsidRPr="0080223C">
      <w:rPr>
        <w:rFonts w:eastAsia="Times New Roman" w:cs="Times New Roman"/>
        <w:b/>
        <w:color w:val="000000"/>
        <w:sz w:val="20"/>
        <w:szCs w:val="20"/>
      </w:rPr>
      <w:t>проєктів</w:t>
    </w:r>
    <w:proofErr w:type="spellEnd"/>
    <w:r w:rsidRPr="0080223C">
      <w:rPr>
        <w:rFonts w:eastAsia="Times New Roman" w:cs="Times New Roman"/>
        <w:b/>
        <w:color w:val="000000"/>
        <w:sz w:val="20"/>
        <w:szCs w:val="20"/>
      </w:rPr>
      <w:t xml:space="preserve">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“Наука для безпеки людини та суспільства”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D5" w:rsidRDefault="001F3B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B4CA3"/>
    <w:rsid w:val="0013406D"/>
    <w:rsid w:val="001E0501"/>
    <w:rsid w:val="001F05F0"/>
    <w:rsid w:val="001F3BD5"/>
    <w:rsid w:val="00362C86"/>
    <w:rsid w:val="00413561"/>
    <w:rsid w:val="00417C72"/>
    <w:rsid w:val="00430BBE"/>
    <w:rsid w:val="00437598"/>
    <w:rsid w:val="004814AD"/>
    <w:rsid w:val="004A6A1A"/>
    <w:rsid w:val="004E158E"/>
    <w:rsid w:val="0055742B"/>
    <w:rsid w:val="0059712A"/>
    <w:rsid w:val="005C49FF"/>
    <w:rsid w:val="005E0983"/>
    <w:rsid w:val="005F4AFA"/>
    <w:rsid w:val="0079350A"/>
    <w:rsid w:val="00820E64"/>
    <w:rsid w:val="008326AC"/>
    <w:rsid w:val="008A598A"/>
    <w:rsid w:val="008C202E"/>
    <w:rsid w:val="009459BB"/>
    <w:rsid w:val="00966D2F"/>
    <w:rsid w:val="009B37C8"/>
    <w:rsid w:val="00A16967"/>
    <w:rsid w:val="00B334D7"/>
    <w:rsid w:val="00B37C07"/>
    <w:rsid w:val="00C0038F"/>
    <w:rsid w:val="00C540BD"/>
    <w:rsid w:val="00C677D5"/>
    <w:rsid w:val="00D07C0F"/>
    <w:rsid w:val="00D402EE"/>
    <w:rsid w:val="00D42832"/>
    <w:rsid w:val="00D662F7"/>
    <w:rsid w:val="00E42612"/>
    <w:rsid w:val="00EA5D17"/>
    <w:rsid w:val="00EB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3</cp:revision>
  <dcterms:created xsi:type="dcterms:W3CDTF">2020-06-08T09:43:00Z</dcterms:created>
  <dcterms:modified xsi:type="dcterms:W3CDTF">2020-06-08T09:44:00Z</dcterms:modified>
</cp:coreProperties>
</file>