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szCs w:val="24"/>
        </w:rPr>
        <w:t>Розробка методів акусто-керованої модифікації та машинно-орієнтованої характеризації кремнієвих сонячних елементів.</w:t>
      </w:r>
    </w:p>
    <w:p>
      <w:pPr>
        <w:spacing w:after="160" w:line="259" w:lineRule="auto"/>
        <w:ind w:firstLine="0"/>
        <w:jc w:val="left"/>
        <w:rPr>
          <w:szCs w:val="24"/>
        </w:rPr>
      </w:pPr>
    </w:p>
    <w:p>
      <w:pPr>
        <w:spacing w:after="160" w:line="259" w:lineRule="auto"/>
        <w:ind w:firstLine="0"/>
        <w:jc w:val="left"/>
        <w:rPr>
          <w:b/>
          <w:szCs w:val="24"/>
        </w:rPr>
      </w:pPr>
      <w:r>
        <w:rPr>
          <w:b/>
          <w:szCs w:val="24"/>
        </w:rPr>
        <w:t xml:space="preserve">8. Спеціальність (обирається з переліку наукових спеціальностей МОН) (для  мультидисциплінарних проєктів інформація наводиться в порядку від основної спеціальності до факультативної) </w:t>
      </w:r>
    </w:p>
    <w:p>
      <w:pPr>
        <w:spacing w:after="160" w:line="259" w:lineRule="auto"/>
        <w:ind w:firstLine="0"/>
        <w:jc w:val="left"/>
        <w:rPr>
          <w:szCs w:val="24"/>
        </w:rPr>
      </w:pPr>
      <w:r>
        <w:rPr>
          <w:szCs w:val="24"/>
        </w:rPr>
        <w:t>104 - Фізика та астрономія</w:t>
      </w:r>
    </w:p>
    <w:p>
      <w:pPr>
        <w:spacing w:after="160" w:line="259" w:lineRule="auto"/>
        <w:ind w:firstLine="0"/>
        <w:jc w:val="left"/>
        <w:rPr>
          <w:szCs w:val="24"/>
        </w:rPr>
      </w:pPr>
      <w:r>
        <w:rPr>
          <w:szCs w:val="24"/>
        </w:rPr>
        <w:t xml:space="preserve">(01.04.07 </w:t>
      </w:r>
      <w:r>
        <w:rPr>
          <w:rStyle w:val="12"/>
        </w:rPr>
        <w:t>Фізика твердого тіла</w:t>
      </w:r>
      <w:r>
        <w:rPr>
          <w:szCs w:val="24"/>
        </w:rPr>
        <w:t>)</w:t>
      </w:r>
    </w:p>
    <w:p>
      <w:pPr>
        <w:spacing w:after="160" w:line="259" w:lineRule="auto"/>
        <w:ind w:firstLine="0"/>
        <w:jc w:val="left"/>
        <w:rPr>
          <w:szCs w:val="24"/>
        </w:rPr>
      </w:pPr>
    </w:p>
    <w:p>
      <w:pPr>
        <w:spacing w:after="160" w:line="259" w:lineRule="auto"/>
        <w:ind w:firstLine="0"/>
        <w:jc w:val="left"/>
        <w:rPr>
          <w:b/>
          <w:szCs w:val="24"/>
        </w:rPr>
      </w:pPr>
      <w:r>
        <w:rPr>
          <w:b/>
          <w:szCs w:val="24"/>
        </w:rPr>
        <w:t xml:space="preserve">9. Стисла інформація про зміст проєкту. </w:t>
      </w:r>
    </w:p>
    <w:p>
      <w:pPr>
        <w:spacing w:after="160" w:line="259" w:lineRule="auto"/>
        <w:ind w:firstLine="0"/>
        <w:jc w:val="left"/>
        <w:rPr>
          <w:b/>
          <w:szCs w:val="24"/>
        </w:rPr>
      </w:pPr>
      <w:r>
        <w:rPr>
          <w:b/>
          <w:szCs w:val="24"/>
        </w:rPr>
        <w:t xml:space="preserve">9.1 </w:t>
      </w:r>
      <w:r>
        <w:rPr>
          <w:rFonts w:cs="Times New Roman"/>
          <w:b/>
          <w:szCs w:val="24"/>
        </w:rPr>
        <w:t>Анотація</w:t>
      </w:r>
      <w:r>
        <w:rPr>
          <w:b/>
          <w:szCs w:val="24"/>
        </w:rPr>
        <w:t xml:space="preserve"> </w:t>
      </w:r>
      <w:r>
        <w:rPr>
          <w:rFonts w:cs="Times New Roman"/>
          <w:b/>
          <w:szCs w:val="24"/>
        </w:rPr>
        <w:t>проєкту</w:t>
      </w:r>
      <w:r>
        <w:rPr>
          <w:b/>
          <w:szCs w:val="24"/>
        </w:rPr>
        <w:t xml:space="preserve"> (</w:t>
      </w:r>
      <w:r>
        <w:rPr>
          <w:rFonts w:cs="Times New Roman"/>
          <w:b/>
          <w:szCs w:val="24"/>
        </w:rPr>
        <w:t>українською</w:t>
      </w:r>
      <w:r>
        <w:rPr>
          <w:b/>
          <w:szCs w:val="24"/>
        </w:rPr>
        <w:t xml:space="preserve"> </w:t>
      </w:r>
      <w:r>
        <w:rPr>
          <w:rFonts w:cs="Times New Roman"/>
          <w:b/>
          <w:szCs w:val="24"/>
        </w:rPr>
        <w:t>та</w:t>
      </w:r>
      <w:r>
        <w:rPr>
          <w:b/>
          <w:szCs w:val="24"/>
        </w:rPr>
        <w:t xml:space="preserve"> </w:t>
      </w:r>
      <w:r>
        <w:rPr>
          <w:rFonts w:cs="Times New Roman"/>
          <w:b/>
          <w:szCs w:val="24"/>
        </w:rPr>
        <w:t>англійською</w:t>
      </w:r>
      <w:r>
        <w:rPr>
          <w:b/>
          <w:szCs w:val="24"/>
        </w:rPr>
        <w:t xml:space="preserve"> </w:t>
      </w:r>
      <w:r>
        <w:rPr>
          <w:rFonts w:cs="Times New Roman"/>
          <w:b/>
          <w:szCs w:val="24"/>
        </w:rPr>
        <w:t>мовами</w:t>
      </w:r>
      <w:r>
        <w:rPr>
          <w:b/>
          <w:szCs w:val="24"/>
        </w:rPr>
        <w:t xml:space="preserve">, </w:t>
      </w:r>
      <w:r>
        <w:rPr>
          <w:rFonts w:cs="Times New Roman"/>
          <w:b/>
          <w:szCs w:val="24"/>
        </w:rPr>
        <w:t>до</w:t>
      </w:r>
      <w:r>
        <w:rPr>
          <w:b/>
          <w:szCs w:val="24"/>
        </w:rPr>
        <w:t xml:space="preserve"> 1000 </w:t>
      </w:r>
      <w:r>
        <w:rPr>
          <w:rFonts w:cs="Times New Roman"/>
          <w:b/>
          <w:szCs w:val="24"/>
        </w:rPr>
        <w:t>знаків</w:t>
      </w:r>
      <w:r>
        <w:rPr>
          <w:b/>
          <w:szCs w:val="24"/>
        </w:rPr>
        <w:t xml:space="preserve"> </w:t>
      </w:r>
      <w:r>
        <w:rPr>
          <w:rFonts w:cs="Times New Roman"/>
          <w:b/>
          <w:szCs w:val="24"/>
        </w:rPr>
        <w:t>кожною</w:t>
      </w:r>
      <w:r>
        <w:rPr>
          <w:b/>
          <w:szCs w:val="24"/>
        </w:rPr>
        <w:t xml:space="preserve"> </w:t>
      </w:r>
      <w:r>
        <w:rPr>
          <w:rFonts w:cs="Times New Roman"/>
          <w:b/>
          <w:szCs w:val="24"/>
        </w:rPr>
        <w:t>–</w:t>
      </w:r>
      <w:r>
        <w:rPr>
          <w:b/>
          <w:szCs w:val="24"/>
        </w:rPr>
        <w:t xml:space="preserve"> </w:t>
      </w:r>
      <w:r>
        <w:rPr>
          <w:rFonts w:cs="Times New Roman"/>
          <w:b/>
          <w:szCs w:val="24"/>
        </w:rPr>
        <w:t>для</w:t>
      </w:r>
      <w:r>
        <w:rPr>
          <w:b/>
          <w:szCs w:val="24"/>
        </w:rPr>
        <w:t xml:space="preserve"> оприлюднення на сайті) </w:t>
      </w:r>
    </w:p>
    <w:p>
      <w:pPr>
        <w:rPr>
          <w:szCs w:val="24"/>
        </w:rPr>
      </w:pPr>
      <w:r>
        <w:rPr>
          <w:szCs w:val="24"/>
        </w:rPr>
        <w:t>Проєкт передбачає два основних напрямки досліджень. Перший має на меті р</w:t>
      </w:r>
      <w:r>
        <w:t>озробку фізичних засад методу акустостимульованої деактивації дефектів, пов’язаних з атомами перехідних металів у кремнієвих сонячних елементах (КСЕ) та базується на експериментальному з’ясуванні фізичних закономірностей та механізмів перебудови дефектних комплексів за умов поширення пружних хвиль ультразвукового діапазону. Передбачається, що подібний підхід дозволить покращити ефективність та світлодеградаційну стійкість КСЕ.</w:t>
      </w:r>
    </w:p>
    <w:p>
      <w:pPr>
        <w:rPr>
          <w:szCs w:val="24"/>
        </w:rPr>
      </w:pPr>
      <w:r>
        <w:rPr>
          <w:szCs w:val="24"/>
        </w:rPr>
        <w:t xml:space="preserve">Другий напрям передбачає розробку засад експрес-методу кількісної оцінки електрично-активних дефектів у бар’єрних структурах за величиною фактору неідеальності. При цьому передбачається а) моделювання вольт-амперних характеристик КСЕ </w:t>
      </w:r>
      <w:r>
        <w:t>з різними геометричними і електрофізичними параметрами з врахуванням наявності рекомбінаційних центрів; б) використання методів глибокого навчання для виявлення взаємозв’язків концентрації дефектів та параметрів вольт-амперних характеристик.</w:t>
      </w:r>
    </w:p>
    <w:p>
      <w:pPr>
        <w:spacing w:after="160" w:line="259" w:lineRule="auto"/>
        <w:ind w:firstLine="0"/>
        <w:jc w:val="left"/>
        <w:rPr>
          <w:szCs w:val="24"/>
        </w:rPr>
      </w:pPr>
    </w:p>
    <w:p>
      <w:pPr>
        <w:spacing w:after="160" w:line="259" w:lineRule="auto"/>
        <w:ind w:firstLine="0"/>
        <w:jc w:val="left"/>
        <w:rPr>
          <w:b/>
          <w:szCs w:val="24"/>
        </w:rPr>
      </w:pPr>
      <w:r>
        <w:rPr>
          <w:b/>
          <w:szCs w:val="24"/>
        </w:rPr>
        <w:t xml:space="preserve">9.2. Короткий опис проєкту (українською та англійською мовами, до 5000 знаків кожною) </w:t>
      </w:r>
    </w:p>
    <w:p>
      <w:r>
        <w:t xml:space="preserve">На сьогодні сонячна фотовольтаїка характеризується найшвидшими темпами зростання серед усіх </w:t>
      </w:r>
      <w:r>
        <w:rPr>
          <w:rStyle w:val="11"/>
        </w:rPr>
        <w:t xml:space="preserve">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w:t>
      </w:r>
      <w:r>
        <w:t xml:space="preserve">Задля здешевлення кінцевої продукції, для створення КСЕ використовуються кристали </w:t>
      </w:r>
      <w:r>
        <w:rPr>
          <w:lang w:val="ru-RU"/>
        </w:rPr>
        <w:t>в</w:t>
      </w:r>
      <w:r>
        <w:rPr>
          <w:lang w:val="uk-UA"/>
        </w:rPr>
        <w:t>ідносно</w:t>
      </w:r>
      <w:r>
        <w:t xml:space="preserve"> невисокої чистоти, причому однією з найпоширеніших і водночас з найшкідливіших домішок, є атоми заліза та інших перехідних металів. Питання розуміння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акусто-дефектної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проекту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підстроювального фактору. </w:t>
      </w:r>
    </w:p>
    <w:p>
      <w:pPr>
        <w:rPr>
          <w:szCs w:val="24"/>
        </w:rPr>
      </w:pPr>
      <w:r>
        <w:t>Експериментальна частина проекту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шунтуючий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w:t>
      </w:r>
      <w:r>
        <w:rPr>
          <w:vertAlign w:val="superscript"/>
        </w:rPr>
        <w:t>2</w:t>
      </w:r>
      <w:r>
        <w:t xml:space="preserve">) в температурному діапазоні 290-350 К) та порівняння із беззвуковим випадком; визначення кінетичних характеристик зміни параметрів ВАХ внаслідок відновлення пар </w:t>
      </w:r>
      <w:r>
        <w:rPr>
          <w:lang w:val="en-US"/>
        </w:rPr>
        <w:t>Fe</w:t>
      </w:r>
      <w:r>
        <w:t>-</w:t>
      </w:r>
      <w:r>
        <w:rPr>
          <w:lang w:val="en-US"/>
        </w:rPr>
        <w:t>B</w:t>
      </w:r>
      <w:r>
        <w:t xml:space="preserve"> в умовах ультразвукового навантаження та порівняння з беззвуковим випадком; розробку рекомендацій щодо спрямованої зміни експлуатаційних характеристик КСЕ шляхом акустостимульованої деактивації дефектів. Вибір домішкової пари </w:t>
      </w:r>
      <w:r>
        <w:rPr>
          <w:lang w:val="en-US"/>
        </w:rPr>
        <w:t>Fe</w:t>
      </w:r>
      <w:r>
        <w:t>-</w:t>
      </w:r>
      <w:r>
        <w:rPr>
          <w:lang w:val="en-US"/>
        </w:rPr>
        <w:t>B</w:t>
      </w:r>
      <w:r>
        <w:t xml:space="preserve"> як безпосереднього об’єкту акусто-керованої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та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акусто-дефектної взаємодії.</w:t>
      </w:r>
    </w:p>
    <w:p>
      <w:pPr>
        <w:rPr>
          <w:szCs w:val="24"/>
        </w:rPr>
      </w:pPr>
      <w:r>
        <w:t>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Даний проект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необхідним</w:t>
      </w:r>
      <w:r>
        <w:rPr>
          <w:rFonts w:hint="default"/>
          <w:lang w:val="uk-UA"/>
        </w:rPr>
        <w:t xml:space="preserve"> </w:t>
      </w:r>
      <w:r>
        <w:t xml:space="preserve">є навність значної за об’ємом бази даних. У цьому проєкті передбачено створення відповідного масиву даних шляхом моделювання ВАХ для кремнієвих структур </w:t>
      </w:r>
      <w:r>
        <w:rPr>
          <w:i/>
        </w:rPr>
        <w:t>n</w:t>
      </w:r>
      <w:r>
        <w:rPr>
          <w:vertAlign w:val="superscript"/>
        </w:rPr>
        <w:t>+</w:t>
      </w:r>
      <w:r>
        <w:t>-</w:t>
      </w:r>
      <w:r>
        <w:rPr>
          <w:i/>
        </w:rPr>
        <w:t>p</w:t>
      </w:r>
      <w:r>
        <w:t>-</w:t>
      </w:r>
      <w:r>
        <w:rPr>
          <w:i/>
        </w:rPr>
        <w:t>p</w:t>
      </w:r>
      <w:r>
        <w:rPr>
          <w:vertAlign w:val="superscript"/>
        </w:rPr>
        <w:t>+</w:t>
      </w:r>
      <w:r>
        <w:t xml:space="preserve"> з різною товщиною (150-240 мкм) та ступенем легування (</w:t>
      </w:r>
      <w:r>
        <w:rPr>
          <w:szCs w:val="28"/>
        </w:rPr>
        <w:t>10</w:t>
      </w:r>
      <w:r>
        <w:rPr>
          <w:szCs w:val="28"/>
          <w:vertAlign w:val="superscript"/>
        </w:rPr>
        <w:t>15</w:t>
      </w:r>
      <w:r>
        <w:rPr>
          <w:szCs w:val="28"/>
        </w:rPr>
        <w:t>÷10</w:t>
      </w:r>
      <w:r>
        <w:rPr>
          <w:szCs w:val="28"/>
          <w:vertAlign w:val="superscript"/>
        </w:rPr>
        <w:t>17</w:t>
      </w:r>
      <w:r>
        <w:rPr>
          <w:szCs w:val="28"/>
        </w:rPr>
        <w:t xml:space="preserve"> см</w:t>
      </w:r>
      <w:r>
        <w:rPr>
          <w:szCs w:val="28"/>
          <w:vertAlign w:val="superscript"/>
        </w:rPr>
        <w:t>-3</w:t>
      </w:r>
      <w:r>
        <w:t xml:space="preserve">) бази при варіації концентрації домішки в інтервалі </w:t>
      </w:r>
      <w:r>
        <w:rPr>
          <w:szCs w:val="28"/>
        </w:rPr>
        <w:t>10</w:t>
      </w:r>
      <w:r>
        <w:rPr>
          <w:szCs w:val="28"/>
          <w:vertAlign w:val="superscript"/>
        </w:rPr>
        <w:t>10</w:t>
      </w:r>
      <w:r>
        <w:rPr>
          <w:szCs w:val="28"/>
        </w:rPr>
        <w:t>÷10</w:t>
      </w:r>
      <w:r>
        <w:rPr>
          <w:szCs w:val="28"/>
          <w:vertAlign w:val="superscript"/>
        </w:rPr>
        <w:t>13</w:t>
      </w:r>
      <w:r>
        <w:rPr>
          <w:szCs w:val="28"/>
        </w:rPr>
        <w:t xml:space="preserve"> см</w:t>
      </w:r>
      <w:r>
        <w:rPr>
          <w:szCs w:val="28"/>
          <w:vertAlign w:val="superscript"/>
        </w:rPr>
        <w:t>-3</w:t>
      </w:r>
      <w:r>
        <w:t xml:space="preserve">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Останнім етапом цього напрямку проекту буде налаштовування (підбір кількостей схованих шарів та нейронів в них, методу регуляризації,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w:t>
      </w:r>
    </w:p>
    <w:p>
      <w:pPr>
        <w:rPr>
          <w:szCs w:val="24"/>
        </w:rPr>
      </w:pPr>
    </w:p>
    <w:p>
      <w:pPr>
        <w:spacing w:after="160" w:line="259" w:lineRule="auto"/>
        <w:ind w:firstLine="0"/>
        <w:jc w:val="left"/>
        <w:rPr>
          <w:szCs w:val="24"/>
        </w:rPr>
      </w:pPr>
    </w:p>
    <w:p>
      <w:pPr>
        <w:spacing w:after="160" w:line="259" w:lineRule="auto"/>
        <w:ind w:firstLine="0"/>
        <w:jc w:val="left"/>
        <w:rPr>
          <w:b/>
          <w:szCs w:val="24"/>
        </w:rPr>
      </w:pPr>
      <w:r>
        <w:rPr>
          <w:b/>
          <w:szCs w:val="24"/>
        </w:rPr>
        <w:t xml:space="preserve">10.  Ключові слова (українською та англійською мовами, від 5 до 10 слів кожною) </w:t>
      </w:r>
    </w:p>
    <w:p>
      <w:pPr>
        <w:spacing w:after="160" w:line="259" w:lineRule="auto"/>
        <w:ind w:firstLine="0"/>
        <w:jc w:val="left"/>
        <w:rPr>
          <w:szCs w:val="24"/>
        </w:rPr>
      </w:pPr>
      <w:r>
        <w:rPr>
          <w:szCs w:val="24"/>
        </w:rPr>
        <w:t>Кремній, сонячні елементи, ультразвук, рекомбінаційні центри, вольт-амперні характеристики, глибоке навчання, фактор неідеальності</w:t>
      </w:r>
      <w:r>
        <w:rPr>
          <w:szCs w:val="24"/>
          <w:lang w:val="en-US"/>
        </w:rPr>
        <w:t xml:space="preserve">, </w:t>
      </w:r>
      <w:r>
        <w:rPr>
          <w:szCs w:val="24"/>
        </w:rPr>
        <w:t>акусто-дефектна взаємодія</w:t>
      </w:r>
    </w:p>
    <w:p>
      <w:pPr>
        <w:spacing w:after="160" w:line="259" w:lineRule="auto"/>
        <w:ind w:firstLine="0"/>
        <w:jc w:val="left"/>
        <w:rPr>
          <w:szCs w:val="24"/>
          <w:lang w:val="en-US"/>
        </w:rPr>
      </w:pPr>
      <w:r>
        <w:rPr>
          <w:szCs w:val="24"/>
          <w:lang w:val="en-US"/>
        </w:rPr>
        <w:t>Silicon, solar cells, ultrasound, recombination centers, current-voltage characteristics, deep learning, ideality factor, acousto-defect interaction</w:t>
      </w:r>
    </w:p>
    <w:p>
      <w:pPr>
        <w:spacing w:after="160" w:line="259" w:lineRule="auto"/>
        <w:ind w:firstLine="0"/>
        <w:jc w:val="left"/>
        <w:rPr>
          <w:szCs w:val="24"/>
        </w:rPr>
      </w:pPr>
    </w:p>
    <w:p>
      <w:pPr>
        <w:spacing w:after="160" w:line="259" w:lineRule="auto"/>
        <w:ind w:firstLine="0"/>
        <w:jc w:val="left"/>
        <w:rPr>
          <w:b/>
          <w:szCs w:val="24"/>
        </w:rPr>
      </w:pPr>
      <w:r>
        <w:rPr>
          <w:b/>
          <w:szCs w:val="24"/>
        </w:rPr>
        <w:t>11. Тривалість виконання проєкту (українською та англійською мовами):</w:t>
      </w:r>
    </w:p>
    <w:p>
      <w:pPr>
        <w:spacing w:after="160" w:line="259" w:lineRule="auto"/>
        <w:ind w:firstLine="0"/>
        <w:jc w:val="left"/>
        <w:rPr>
          <w:szCs w:val="24"/>
        </w:rPr>
      </w:pPr>
      <w:r>
        <w:rPr>
          <w:szCs w:val="24"/>
        </w:rPr>
        <w:t>дворічний проєкт</w:t>
      </w:r>
    </w:p>
    <w:p>
      <w:pPr>
        <w:spacing w:after="160" w:line="259" w:lineRule="auto"/>
        <w:ind w:firstLine="0"/>
        <w:jc w:val="left"/>
        <w:rPr>
          <w:szCs w:val="24"/>
        </w:rPr>
      </w:pPr>
    </w:p>
    <w:p>
      <w:pPr>
        <w:spacing w:after="160" w:line="259" w:lineRule="auto"/>
        <w:ind w:firstLine="0"/>
        <w:jc w:val="left"/>
        <w:rPr>
          <w:b/>
          <w:szCs w:val="24"/>
        </w:rPr>
      </w:pPr>
      <w:r>
        <w:rPr>
          <w:b/>
          <w:szCs w:val="24"/>
        </w:rPr>
        <w:t xml:space="preserve">12. Загальна вартість проєкту, грн. </w:t>
      </w:r>
    </w:p>
    <w:p>
      <w:pPr>
        <w:spacing w:after="160" w:line="259" w:lineRule="auto"/>
        <w:ind w:firstLine="0"/>
        <w:jc w:val="left"/>
        <w:rPr>
          <w:szCs w:val="24"/>
        </w:rPr>
      </w:pPr>
      <w:r>
        <w:rPr>
          <w:szCs w:val="24"/>
        </w:rPr>
        <w:t xml:space="preserve">_____________________________________________________________________________ </w:t>
      </w:r>
    </w:p>
    <w:p>
      <w:pPr>
        <w:spacing w:after="160" w:line="259" w:lineRule="auto"/>
        <w:ind w:firstLine="0"/>
        <w:jc w:val="left"/>
        <w:rPr>
          <w:b/>
          <w:szCs w:val="24"/>
        </w:rPr>
      </w:pPr>
      <w:r>
        <w:rPr>
          <w:b/>
          <w:szCs w:val="24"/>
        </w:rPr>
        <w:t xml:space="preserve"> Вартість проєкту по роках, грн.: </w:t>
      </w:r>
    </w:p>
    <w:p>
      <w:pPr>
        <w:spacing w:after="160" w:line="259" w:lineRule="auto"/>
        <w:ind w:firstLine="0"/>
        <w:jc w:val="left"/>
        <w:rPr>
          <w:szCs w:val="24"/>
        </w:rPr>
      </w:pPr>
      <w:r>
        <w:rPr>
          <w:szCs w:val="24"/>
        </w:rPr>
        <w:t xml:space="preserve">1-й рік_______________________________________________________________ </w:t>
      </w:r>
    </w:p>
    <w:p>
      <w:pPr>
        <w:spacing w:after="160" w:line="259" w:lineRule="auto"/>
        <w:ind w:firstLine="0"/>
        <w:jc w:val="left"/>
        <w:rPr>
          <w:szCs w:val="24"/>
        </w:rPr>
      </w:pPr>
      <w:r>
        <w:rPr>
          <w:szCs w:val="24"/>
        </w:rPr>
        <w:t xml:space="preserve">2-й рік_______________________________________________________________ </w:t>
      </w:r>
    </w:p>
    <w:p>
      <w:pPr>
        <w:spacing w:after="160" w:line="259" w:lineRule="auto"/>
        <w:ind w:firstLine="0"/>
        <w:jc w:val="left"/>
        <w:rPr>
          <w:szCs w:val="24"/>
        </w:rPr>
      </w:pPr>
      <w:r>
        <w:rPr>
          <w:szCs w:val="24"/>
        </w:rPr>
        <w:br w:type="page"/>
      </w:r>
    </w:p>
    <w:p>
      <w:pPr>
        <w:rPr>
          <w:szCs w:val="24"/>
        </w:rPr>
      </w:pPr>
    </w:p>
    <w:p>
      <w:pPr>
        <w:rPr>
          <w:b/>
          <w:szCs w:val="24"/>
        </w:rPr>
      </w:pPr>
      <w:r>
        <w:rPr>
          <w:b/>
          <w:szCs w:val="24"/>
        </w:rPr>
        <w:t>1. Мета проекту (до 500 знаків)</w:t>
      </w:r>
    </w:p>
    <w:p>
      <w:r>
        <w:t>Розробка фізичних засад методу акустостимульованої деактивації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світлодеградаційної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pPr>
        <w:rPr>
          <w:szCs w:val="24"/>
        </w:rPr>
      </w:pPr>
    </w:p>
    <w:p>
      <w:pPr>
        <w:rPr>
          <w:b/>
          <w:szCs w:val="24"/>
        </w:rPr>
      </w:pPr>
      <w:r>
        <w:rPr>
          <w:b/>
          <w:szCs w:val="24"/>
        </w:rPr>
        <w:t>2. Основні завдання проєкту (до 1000 знаків)</w:t>
      </w:r>
    </w:p>
    <w:p>
      <w:pPr>
        <w:rPr>
          <w:szCs w:val="24"/>
        </w:rPr>
      </w:pPr>
      <w:r>
        <w:rPr>
          <w:szCs w:val="24"/>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pPr>
        <w:rPr>
          <w:rFonts w:eastAsia="Times New Roman" w:cs="Times New Roman"/>
          <w:b/>
          <w:szCs w:val="24"/>
          <w:lang w:val="en-US"/>
        </w:rPr>
      </w:pPr>
      <w:r>
        <w:rPr>
          <w:szCs w:val="24"/>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pPr>
        <w:rPr>
          <w:rFonts w:eastAsia="Times New Roman" w:cs="Times New Roman"/>
          <w:b/>
          <w:szCs w:val="24"/>
          <w:lang w:val="en-US"/>
        </w:rPr>
      </w:pPr>
    </w:p>
    <w:p>
      <w:pPr>
        <w:ind w:firstLine="0"/>
        <w:rPr>
          <w:rFonts w:eastAsia="Times New Roman" w:cs="Times New Roman"/>
          <w:b/>
          <w:szCs w:val="24"/>
          <w:lang w:val="en-US"/>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1134" w:right="850" w:bottom="1134" w:left="1701" w:header="27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Національний фонд досліджень України</w:t>
    </w:r>
  </w:p>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Конкурс проєктів із виконання наукових досліджень і розробок</w:t>
    </w:r>
  </w:p>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 xml:space="preserve"> “Наука для безпеки людини та суспільства”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927C5"/>
    <w:rsid w:val="000A7B47"/>
    <w:rsid w:val="000B4CA3"/>
    <w:rsid w:val="000D4EEB"/>
    <w:rsid w:val="000E023D"/>
    <w:rsid w:val="0011032C"/>
    <w:rsid w:val="0013406D"/>
    <w:rsid w:val="001A45C5"/>
    <w:rsid w:val="001D154C"/>
    <w:rsid w:val="001E0501"/>
    <w:rsid w:val="001F05F0"/>
    <w:rsid w:val="001F3BD5"/>
    <w:rsid w:val="00362C86"/>
    <w:rsid w:val="003740B8"/>
    <w:rsid w:val="003D242E"/>
    <w:rsid w:val="00413561"/>
    <w:rsid w:val="00417C72"/>
    <w:rsid w:val="00430BBE"/>
    <w:rsid w:val="00437598"/>
    <w:rsid w:val="004814AD"/>
    <w:rsid w:val="004A6A1A"/>
    <w:rsid w:val="004E158E"/>
    <w:rsid w:val="0055742B"/>
    <w:rsid w:val="0059712A"/>
    <w:rsid w:val="005C49FF"/>
    <w:rsid w:val="005E0983"/>
    <w:rsid w:val="005F4AFA"/>
    <w:rsid w:val="006D50EB"/>
    <w:rsid w:val="0079350A"/>
    <w:rsid w:val="007B597C"/>
    <w:rsid w:val="00820E64"/>
    <w:rsid w:val="008326AC"/>
    <w:rsid w:val="008A598A"/>
    <w:rsid w:val="008C202E"/>
    <w:rsid w:val="009459BB"/>
    <w:rsid w:val="00966D2F"/>
    <w:rsid w:val="009B37C8"/>
    <w:rsid w:val="009E41E6"/>
    <w:rsid w:val="00A16967"/>
    <w:rsid w:val="00A90141"/>
    <w:rsid w:val="00B234D3"/>
    <w:rsid w:val="00B334D7"/>
    <w:rsid w:val="00B37C07"/>
    <w:rsid w:val="00C0038F"/>
    <w:rsid w:val="00C540BD"/>
    <w:rsid w:val="00C677D5"/>
    <w:rsid w:val="00CD53DF"/>
    <w:rsid w:val="00D07C0F"/>
    <w:rsid w:val="00D402EE"/>
    <w:rsid w:val="00D42832"/>
    <w:rsid w:val="00D662F7"/>
    <w:rsid w:val="00E42612"/>
    <w:rsid w:val="00EA5D17"/>
    <w:rsid w:val="00EB10F1"/>
    <w:rsid w:val="00F75AE6"/>
    <w:rsid w:val="446D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680"/>
      <w:jc w:val="both"/>
    </w:pPr>
    <w:rPr>
      <w:rFonts w:ascii="Times New Roman" w:hAnsi="Times New Roman" w:eastAsiaTheme="minorHAnsi" w:cstheme="minorBidi"/>
      <w:sz w:val="24"/>
      <w:szCs w:val="22"/>
      <w:lang w:val="uk-UA"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844"/>
        <w:tab w:val="right" w:pos="9689"/>
      </w:tabs>
      <w:spacing w:line="240" w:lineRule="auto"/>
    </w:pPr>
  </w:style>
  <w:style w:type="paragraph" w:styleId="3">
    <w:name w:val="header"/>
    <w:basedOn w:val="1"/>
    <w:link w:val="7"/>
    <w:unhideWhenUsed/>
    <w:uiPriority w:val="99"/>
    <w:pPr>
      <w:tabs>
        <w:tab w:val="center" w:pos="4844"/>
        <w:tab w:val="right" w:pos="9689"/>
      </w:tabs>
      <w:spacing w:line="240" w:lineRule="auto"/>
    </w:pPr>
  </w:style>
  <w:style w:type="paragraph" w:customStyle="1" w:styleId="6">
    <w:name w:val="Normal1"/>
    <w:uiPriority w:val="0"/>
    <w:pPr>
      <w:spacing w:after="0" w:line="276" w:lineRule="auto"/>
    </w:pPr>
    <w:rPr>
      <w:rFonts w:ascii="Arial" w:hAnsi="Arial" w:eastAsia="Arial" w:cs="Arial"/>
      <w:sz w:val="22"/>
      <w:szCs w:val="22"/>
      <w:lang w:val="uk" w:eastAsia="en-US" w:bidi="ar-SA"/>
    </w:rPr>
  </w:style>
  <w:style w:type="character" w:customStyle="1" w:styleId="7">
    <w:name w:val="Верхний колонтитул Знак"/>
    <w:basedOn w:val="4"/>
    <w:link w:val="3"/>
    <w:uiPriority w:val="99"/>
    <w:rPr>
      <w:lang w:val="uk-UA"/>
    </w:rPr>
  </w:style>
  <w:style w:type="character" w:customStyle="1" w:styleId="8">
    <w:name w:val="Нижний колонтитул Знак"/>
    <w:basedOn w:val="4"/>
    <w:link w:val="2"/>
    <w:uiPriority w:val="99"/>
    <w:rPr>
      <w:lang w:val="uk-UA"/>
    </w:rPr>
  </w:style>
  <w:style w:type="table" w:customStyle="1" w:styleId="9">
    <w:name w:val="3"/>
    <w:basedOn w:val="5"/>
    <w:qFormat/>
    <w:uiPriority w:val="0"/>
    <w:pPr>
      <w:spacing w:after="0" w:line="276" w:lineRule="auto"/>
    </w:pPr>
    <w:rPr>
      <w:rFonts w:ascii="Arial" w:hAnsi="Arial" w:eastAsia="Arial" w:cs="Arial"/>
      <w:sz w:val="22"/>
      <w:lang w:val="uk"/>
    </w:rPr>
    <w:tblPr>
      <w:tblCellMar>
        <w:left w:w="115" w:type="dxa"/>
        <w:right w:w="115" w:type="dxa"/>
      </w:tblCellMar>
    </w:tblPr>
  </w:style>
  <w:style w:type="table" w:customStyle="1" w:styleId="10">
    <w:name w:val="2"/>
    <w:basedOn w:val="5"/>
    <w:qFormat/>
    <w:uiPriority w:val="0"/>
    <w:pPr>
      <w:spacing w:after="0" w:line="276" w:lineRule="auto"/>
    </w:pPr>
    <w:rPr>
      <w:rFonts w:ascii="Arial" w:hAnsi="Arial" w:eastAsia="Arial" w:cs="Arial"/>
      <w:sz w:val="22"/>
      <w:lang w:val="uk"/>
    </w:rPr>
    <w:tblPr>
      <w:tblCellMar>
        <w:left w:w="115" w:type="dxa"/>
        <w:right w:w="115" w:type="dxa"/>
      </w:tblCellMar>
    </w:tblPr>
  </w:style>
  <w:style w:type="character" w:customStyle="1" w:styleId="11">
    <w:name w:val="tlid-translation"/>
    <w:basedOn w:val="4"/>
    <w:uiPriority w:val="0"/>
  </w:style>
  <w:style w:type="character" w:customStyle="1" w:styleId="12">
    <w:name w:val="rvts0"/>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1308</Words>
  <Characters>7458</Characters>
  <Lines>62</Lines>
  <Paragraphs>17</Paragraphs>
  <TotalTime>3</TotalTime>
  <ScaleCrop>false</ScaleCrop>
  <LinksUpToDate>false</LinksUpToDate>
  <CharactersWithSpaces>8749</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2020-06-08T09:43:00Z</dcterms:created>
  <dc:creator>Пользователь Windows</dc:creator>
  <cp:lastModifiedBy>Vitaliy</cp:lastModifiedBy>
  <dcterms:modified xsi:type="dcterms:W3CDTF">2020-06-12T10:08:08Z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