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6B06C" w14:textId="2BC7E045" w:rsidR="00254C04" w:rsidRPr="00254C04" w:rsidRDefault="00254C04" w:rsidP="00254C04">
      <w:pPr>
        <w:spacing w:before="120"/>
        <w:jc w:val="both"/>
        <w:rPr>
          <w:b/>
          <w:bCs/>
          <w:sz w:val="28"/>
          <w:szCs w:val="28"/>
        </w:rPr>
      </w:pPr>
      <w:r w:rsidRPr="00254C04">
        <w:rPr>
          <w:b/>
          <w:bCs/>
          <w:sz w:val="28"/>
          <w:szCs w:val="28"/>
        </w:rPr>
        <w:t>Methodology</w:t>
      </w:r>
      <w:r>
        <w:rPr>
          <w:b/>
          <w:bCs/>
          <w:sz w:val="28"/>
          <w:szCs w:val="28"/>
        </w:rPr>
        <w:t xml:space="preserve"> LEMTA</w:t>
      </w:r>
    </w:p>
    <w:p w14:paraId="633AFDB8" w14:textId="77777777" w:rsidR="00254C04" w:rsidRPr="00254C04" w:rsidRDefault="00254C04" w:rsidP="00254C04">
      <w:pPr>
        <w:spacing w:before="120"/>
        <w:jc w:val="both"/>
        <w:rPr>
          <w:sz w:val="28"/>
          <w:szCs w:val="28"/>
        </w:rPr>
      </w:pPr>
    </w:p>
    <w:p w14:paraId="6924578E" w14:textId="69EF165D" w:rsidR="00254C04" w:rsidRPr="00254C04" w:rsidRDefault="00254C04" w:rsidP="00254C04">
      <w:pPr>
        <w:spacing w:before="120"/>
        <w:jc w:val="both"/>
        <w:rPr>
          <w:bCs/>
          <w:i/>
          <w:sz w:val="28"/>
          <w:szCs w:val="28"/>
        </w:rPr>
      </w:pPr>
      <w:r w:rsidRPr="00254C04">
        <w:rPr>
          <w:bCs/>
          <w:iCs/>
          <w:sz w:val="28"/>
          <w:szCs w:val="28"/>
        </w:rPr>
        <w:t>LEMTA</w:t>
      </w:r>
      <w:r w:rsidRPr="00254C04">
        <w:rPr>
          <w:bCs/>
          <w:iCs/>
          <w:sz w:val="28"/>
          <w:szCs w:val="28"/>
        </w:rPr>
        <w:t xml:space="preserve"> have gathered a unique group of competences with the best experts in the field that are not available anywhere else</w:t>
      </w:r>
      <w:r w:rsidRPr="00254C04">
        <w:rPr>
          <w:bCs/>
          <w:iCs/>
          <w:sz w:val="28"/>
          <w:szCs w:val="28"/>
        </w:rPr>
        <w:t>. Concerning the simulations, t</w:t>
      </w:r>
      <w:r w:rsidRPr="00254C04">
        <w:rPr>
          <w:bCs/>
          <w:iCs/>
          <w:sz w:val="28"/>
          <w:szCs w:val="28"/>
        </w:rPr>
        <w:t xml:space="preserve">he main tools </w:t>
      </w:r>
      <w:r w:rsidRPr="00254C04">
        <w:rPr>
          <w:bCs/>
          <w:iCs/>
          <w:sz w:val="28"/>
          <w:szCs w:val="28"/>
        </w:rPr>
        <w:t>is</w:t>
      </w:r>
      <w:r w:rsidRPr="00254C04">
        <w:rPr>
          <w:bCs/>
          <w:i/>
          <w:sz w:val="28"/>
          <w:szCs w:val="28"/>
        </w:rPr>
        <w:t xml:space="preserve"> Molecular dynamics</w:t>
      </w:r>
      <w:r w:rsidRPr="00254C04">
        <w:rPr>
          <w:bCs/>
          <w:i/>
          <w:sz w:val="28"/>
          <w:szCs w:val="28"/>
        </w:rPr>
        <w:t xml:space="preserve"> and Monte Carlo simulations.</w:t>
      </w:r>
    </w:p>
    <w:p w14:paraId="323FC904" w14:textId="77777777" w:rsidR="00254C04" w:rsidRPr="00254C04" w:rsidRDefault="00254C04" w:rsidP="00254C04">
      <w:pPr>
        <w:spacing w:before="120"/>
        <w:jc w:val="both"/>
        <w:rPr>
          <w:bCs/>
          <w:iCs/>
          <w:sz w:val="28"/>
          <w:szCs w:val="28"/>
        </w:rPr>
      </w:pPr>
    </w:p>
    <w:p w14:paraId="540F5D8B" w14:textId="77777777" w:rsidR="00254C04" w:rsidRPr="00254C04" w:rsidRDefault="00254C04" w:rsidP="00254C04">
      <w:pPr>
        <w:spacing w:before="120"/>
        <w:jc w:val="center"/>
        <w:rPr>
          <w:bCs/>
          <w:iCs/>
          <w:sz w:val="28"/>
          <w:szCs w:val="28"/>
        </w:rPr>
      </w:pPr>
      <w:r w:rsidRPr="00254C04">
        <w:rPr>
          <w:bCs/>
          <w:iCs/>
          <w:noProof/>
          <w:sz w:val="28"/>
          <w:szCs w:val="28"/>
          <w:lang w:val="uk-UA" w:eastAsia="uk-UA"/>
        </w:rPr>
        <w:drawing>
          <wp:inline distT="0" distB="0" distL="0" distR="0" wp14:anchorId="4991C672" wp14:editId="7876D755">
            <wp:extent cx="4752951" cy="2673350"/>
            <wp:effectExtent l="0" t="0" r="0" b="0"/>
            <wp:docPr id="5" name="Picture 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67826" cy="2681717"/>
                    </a:xfrm>
                    <a:prstGeom prst="rect">
                      <a:avLst/>
                    </a:prstGeom>
                  </pic:spPr>
                </pic:pic>
              </a:graphicData>
            </a:graphic>
          </wp:inline>
        </w:drawing>
      </w:r>
    </w:p>
    <w:p w14:paraId="6C847516" w14:textId="0CBC7C79" w:rsidR="00254C04" w:rsidRPr="00254C04" w:rsidRDefault="00254C04" w:rsidP="00254C04">
      <w:pPr>
        <w:spacing w:before="120"/>
        <w:jc w:val="center"/>
        <w:rPr>
          <w:bCs/>
          <w:iCs/>
          <w:sz w:val="28"/>
          <w:szCs w:val="28"/>
        </w:rPr>
      </w:pPr>
      <w:r w:rsidRPr="00254C04">
        <w:rPr>
          <w:b/>
          <w:iCs/>
          <w:sz w:val="28"/>
          <w:szCs w:val="28"/>
        </w:rPr>
        <w:t xml:space="preserve">Fig. </w:t>
      </w:r>
      <w:r w:rsidRPr="00254C04">
        <w:rPr>
          <w:b/>
          <w:iCs/>
          <w:sz w:val="28"/>
          <w:szCs w:val="28"/>
        </w:rPr>
        <w:t>1</w:t>
      </w:r>
      <w:r w:rsidRPr="00254C04">
        <w:rPr>
          <w:b/>
          <w:iCs/>
          <w:sz w:val="28"/>
          <w:szCs w:val="28"/>
        </w:rPr>
        <w:t>.</w:t>
      </w:r>
      <w:r w:rsidRPr="00254C04">
        <w:rPr>
          <w:bCs/>
          <w:iCs/>
          <w:sz w:val="28"/>
          <w:szCs w:val="28"/>
        </w:rPr>
        <w:t xml:space="preserve"> Examples of interactions: a) a model representation of the water molecule based on the three sites model (SPC and SPCE/); b) an example of interaction of a water molecule with the uncharged solid substrate; c) example of the Lenard-Jones interactional potentials. </w:t>
      </w:r>
    </w:p>
    <w:p w14:paraId="308CB3CC" w14:textId="77777777" w:rsidR="00254C04" w:rsidRPr="00254C04" w:rsidRDefault="00254C04" w:rsidP="00254C04">
      <w:pPr>
        <w:spacing w:before="120"/>
        <w:jc w:val="both"/>
        <w:rPr>
          <w:sz w:val="28"/>
          <w:szCs w:val="28"/>
        </w:rPr>
      </w:pPr>
      <w:r w:rsidRPr="00254C04">
        <w:rPr>
          <w:bCs/>
          <w:iCs/>
          <w:sz w:val="28"/>
          <w:szCs w:val="28"/>
        </w:rPr>
        <w:t xml:space="preserve">For numerical modelling of the solid/liquid interaction close to a nanostructured interface, the main tool that we plan to use is atomistic modelling with molecular dynamics </w:t>
      </w:r>
      <w:r w:rsidRPr="00254C04">
        <w:rPr>
          <w:sz w:val="28"/>
          <w:szCs w:val="28"/>
        </w:rPr>
        <w:t>(MD)</w:t>
      </w:r>
      <w:r w:rsidRPr="00254C04">
        <w:rPr>
          <w:bCs/>
          <w:iCs/>
          <w:sz w:val="28"/>
          <w:szCs w:val="28"/>
        </w:rPr>
        <w:t xml:space="preserve">. </w:t>
      </w:r>
      <w:r w:rsidRPr="00254C04">
        <w:rPr>
          <w:sz w:val="28"/>
          <w:szCs w:val="28"/>
        </w:rPr>
        <w:t>Molecular dynamics methods are the best suited approaches for the description of heat and mass transfer across interfaces at nanoscales. As a powerful tool to elucidate heat transport processes in multiphase systems it will bring new and valuable contributions to the before mentioned problems in connection with the description of heat and mass transfer. In principle, any type of gas, liquid, solid states, and inter-phase phenomena can be solved without the knowledge of macroscopic "thermo-physical properties" such as thermal conductivity, viscosity, latent heat, saturation temperature and surface tension. The numerical data such as temperature, energy, atom motion, structural factor, etc. evaluated with MD technique will provide a basis for the further micro- and mesoscopic simulations. In addition, consideration of “micro-geometry” of the interface is a promising way to improve ultimately macroscopic behaviour of efficient systems and devices.</w:t>
      </w:r>
    </w:p>
    <w:p w14:paraId="20DA54AE" w14:textId="77777777" w:rsidR="00254C04" w:rsidRPr="00254C04" w:rsidRDefault="00254C04" w:rsidP="00254C04">
      <w:pPr>
        <w:spacing w:before="120"/>
        <w:jc w:val="both"/>
        <w:rPr>
          <w:sz w:val="28"/>
          <w:szCs w:val="28"/>
        </w:rPr>
      </w:pPr>
      <w:r w:rsidRPr="00254C04">
        <w:rPr>
          <w:noProof/>
          <w:sz w:val="28"/>
          <w:szCs w:val="28"/>
          <w:lang w:val="uk-UA" w:eastAsia="uk-UA"/>
        </w:rPr>
        <w:lastRenderedPageBreak/>
        <w:drawing>
          <wp:inline distT="0" distB="0" distL="0" distR="0" wp14:anchorId="022FC282" wp14:editId="7D45949E">
            <wp:extent cx="6120130" cy="1630362"/>
            <wp:effectExtent l="0" t="0" r="0" b="8255"/>
            <wp:docPr id="11" name="Picture 1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with low confidence"/>
                    <pic:cNvPicPr/>
                  </pic:nvPicPr>
                  <pic:blipFill rotWithShape="1">
                    <a:blip r:embed="rId6">
                      <a:extLst>
                        <a:ext uri="{28A0092B-C50C-407E-A947-70E740481C1C}">
                          <a14:useLocalDpi xmlns:a14="http://schemas.microsoft.com/office/drawing/2010/main" val="0"/>
                        </a:ext>
                      </a:extLst>
                    </a:blip>
                    <a:srcRect t="1061" b="51577"/>
                    <a:stretch/>
                  </pic:blipFill>
                  <pic:spPr bwMode="auto">
                    <a:xfrm>
                      <a:off x="0" y="0"/>
                      <a:ext cx="6120130" cy="1630362"/>
                    </a:xfrm>
                    <a:prstGeom prst="rect">
                      <a:avLst/>
                    </a:prstGeom>
                    <a:ln>
                      <a:noFill/>
                    </a:ln>
                    <a:extLst>
                      <a:ext uri="{53640926-AAD7-44D8-BBD7-CCE9431645EC}">
                        <a14:shadowObscured xmlns:a14="http://schemas.microsoft.com/office/drawing/2010/main"/>
                      </a:ext>
                    </a:extLst>
                  </pic:spPr>
                </pic:pic>
              </a:graphicData>
            </a:graphic>
          </wp:inline>
        </w:drawing>
      </w:r>
    </w:p>
    <w:p w14:paraId="72EF5A32" w14:textId="03E591DB" w:rsidR="00254C04" w:rsidRPr="00254C04" w:rsidRDefault="00254C04" w:rsidP="00254C04">
      <w:pPr>
        <w:spacing w:before="120"/>
        <w:jc w:val="center"/>
        <w:rPr>
          <w:sz w:val="28"/>
          <w:szCs w:val="28"/>
        </w:rPr>
      </w:pPr>
      <w:r w:rsidRPr="00254C04">
        <w:rPr>
          <w:b/>
          <w:bCs/>
          <w:sz w:val="28"/>
          <w:szCs w:val="28"/>
        </w:rPr>
        <w:t xml:space="preserve">Fig. </w:t>
      </w:r>
      <w:r w:rsidRPr="00254C04">
        <w:rPr>
          <w:b/>
          <w:bCs/>
          <w:sz w:val="28"/>
          <w:szCs w:val="28"/>
        </w:rPr>
        <w:t>2</w:t>
      </w:r>
      <w:r w:rsidRPr="00254C04">
        <w:rPr>
          <w:b/>
          <w:bCs/>
          <w:sz w:val="28"/>
          <w:szCs w:val="28"/>
        </w:rPr>
        <w:t xml:space="preserve">. </w:t>
      </w:r>
      <w:r w:rsidRPr="00254C04">
        <w:rPr>
          <w:sz w:val="28"/>
          <w:szCs w:val="28"/>
        </w:rPr>
        <w:t>a) molecular dynamics snapshot of a water droplet on silicon substrate: cylindrical droplet morphology was chosen to minimise impact of the line tension; b) density map of the liquid inside droplet; c) dependence of the wetting angle of the considered droplet and a spherical one as a function of Lenard-Jones interactional parameter</w:t>
      </w:r>
      <w:r w:rsidRPr="00254C04">
        <w:rPr>
          <w:sz w:val="28"/>
          <w:szCs w:val="28"/>
        </w:rPr>
        <w:fldChar w:fldCharType="begin" w:fldLock="1"/>
      </w:r>
      <w:r w:rsidRPr="00254C04">
        <w:rPr>
          <w:sz w:val="28"/>
          <w:szCs w:val="28"/>
        </w:rPr>
        <w:instrText>ADDIN CSL_CITATION {"citationItems":[{"id":"ITEM-1","itemData":{"DOI":"10.1080/08927022.2015.1105372","ISSN":"0892-7022","abstract":"Spherical and cylindrical water droplets on silicon surface are studied to tune the silicon–oxygen interaction. We use molecular dynamics simulations to estimate the contact angle of two different shaped droplets. We found that the cylindrical droplets are independent of the line tension as their three phases curvature is equal zero. Additionally, we compare an analytical model, taking into account or not the Tolman length and we show that for spherical small size droplets, this length is important to be included, in contrast to cylindrical droplets in which the influence of the Tolman length is negligible. We demonstrate that the usual convenient way to exclude linear tension in the general case can give wrong results. Here, we consider cylindrical droplets, since their contact angle does not depend on the droplet size in the range of few to 10ths of nanometres. The droplets are stabilised due to the periodic boundary conditions. This allows us to propose a new parameterisation for nanoscale drop...","author":[{"dropping-particle":"","family":"Isaiev","given":"Mykola","non-dropping-particle":"","parse-names":false,"suffix":""},{"dropping-particle":"","family":"Burian","given":"Sergii","non-dropping-particle":"","parse-names":false,"suffix":""},{"dropping-particle":"","family":"Bulavin","given":"Leonid","non-dropping-particle":"","parse-names":false,"suffix":""},{"dropping-particle":"","family":"Gradeck","given":"Michel","non-dropping-particle":"","parse-names":false,"suffix":""},{"dropping-particle":"","family":"Lemoine","given":"Fabrice","non-dropping-particle":"","parse-names":false,"suffix":""},{"dropping-particle":"","family":"Termentzidis","given":"Konstantinos","non-dropping-particle":"","parse-names":false,"suffix":""}],"container-title":"Molecular Simulation","id":"ITEM-1","issue":"11","issued":{"date-parts":[["2016","7","23"]]},"page":"910-915","title":"Efficient tuning of potential parameters for liquid–solid interactions","type":"article-journal","volume":"42"},"uris":["http://www.mendeley.com/documents/?uuid=1b7354eb-91f2-4a27-90b7-e6c94e794469"]}],"mendeley":{"formattedCitation":"&lt;sup&gt;21&lt;/sup&gt;","plainTextFormattedCitation":"21","previouslyFormattedCitation":"&lt;sup&gt;21&lt;/sup&gt;"},"properties":{"noteIndex":0},"schema":"https://github.com/citation-style-language/schema/raw/master/csl-citation.json"}</w:instrText>
      </w:r>
      <w:r w:rsidRPr="00254C04">
        <w:rPr>
          <w:sz w:val="28"/>
          <w:szCs w:val="28"/>
        </w:rPr>
        <w:fldChar w:fldCharType="separate"/>
      </w:r>
      <w:r w:rsidRPr="00254C04">
        <w:rPr>
          <w:noProof/>
          <w:sz w:val="28"/>
          <w:szCs w:val="28"/>
          <w:vertAlign w:val="superscript"/>
        </w:rPr>
        <w:t>21</w:t>
      </w:r>
      <w:r w:rsidRPr="00254C04">
        <w:rPr>
          <w:sz w:val="28"/>
          <w:szCs w:val="28"/>
        </w:rPr>
        <w:fldChar w:fldCharType="end"/>
      </w:r>
    </w:p>
    <w:p w14:paraId="636418D6" w14:textId="605B22EF" w:rsidR="00254C04" w:rsidRPr="00254C04" w:rsidRDefault="00254C04" w:rsidP="00254C04">
      <w:pPr>
        <w:spacing w:before="120"/>
        <w:jc w:val="both"/>
        <w:rPr>
          <w:sz w:val="28"/>
          <w:szCs w:val="28"/>
        </w:rPr>
      </w:pPr>
      <w:r w:rsidRPr="00254C04">
        <w:rPr>
          <w:sz w:val="28"/>
          <w:szCs w:val="28"/>
        </w:rPr>
        <w:t xml:space="preserve">Principle: MD uses classical Newton’s equations of motion to describe the system evolution with </w:t>
      </w:r>
      <w:proofErr w:type="gramStart"/>
      <w:r w:rsidRPr="00254C04">
        <w:rPr>
          <w:sz w:val="28"/>
          <w:szCs w:val="28"/>
        </w:rPr>
        <w:t>a large number of</w:t>
      </w:r>
      <w:proofErr w:type="gramEnd"/>
      <w:r w:rsidRPr="00254C04">
        <w:rPr>
          <w:sz w:val="28"/>
          <w:szCs w:val="28"/>
        </w:rPr>
        <w:t xml:space="preserve"> degrees of freedom. Because of its specificity one needs to initialize simulations by setting an initial configuration for the positions of atoms and molecules. Then construction of geometry and morphological nanoscale features of contacting interfaces can be performed. It is therefore possible to simulate different kinds of structuration of the solid surface. Evolution of the system based on the atoms movements with respect to the interatomic forces (see </w:t>
      </w:r>
      <w:r w:rsidRPr="00254C04">
        <w:rPr>
          <w:b/>
          <w:bCs/>
          <w:sz w:val="28"/>
          <w:szCs w:val="28"/>
        </w:rPr>
        <w:t xml:space="preserve">Fig. </w:t>
      </w:r>
      <w:r w:rsidRPr="00254C04">
        <w:rPr>
          <w:b/>
          <w:bCs/>
          <w:sz w:val="28"/>
          <w:szCs w:val="28"/>
        </w:rPr>
        <w:t>1</w:t>
      </w:r>
      <w:r w:rsidRPr="00254C04">
        <w:rPr>
          <w:sz w:val="28"/>
          <w:szCs w:val="28"/>
        </w:rPr>
        <w:t>) and external fields in presence gives an inside regarding numerous processes arising at the nanoscale</w:t>
      </w:r>
      <w:r w:rsidRPr="00254C04">
        <w:rPr>
          <w:sz w:val="28"/>
          <w:szCs w:val="28"/>
        </w:rPr>
        <w:fldChar w:fldCharType="begin" w:fldLock="1"/>
      </w:r>
      <w:r w:rsidRPr="00254C04">
        <w:rPr>
          <w:sz w:val="28"/>
          <w:szCs w:val="28"/>
        </w:rPr>
        <w:instrText>ADDIN CSL_CITATION {"citationItems":[{"id":"ITEM-1","itemData":{"DOI":"10.1002/9780470172599.ch21","ISBN":"0471348783","author":[{"dropping-particle":"","family":"Maruyama","given":"Shigeo","non-dropping-particle":"","parse-names":false,"suffix":""}],"container-title":"Handbook of Numerical Heat Transfer: Second Edition","id":"ITEM-1","issued":{"date-parts":[["2009"]]},"page":"659-695","title":"Molecular Dynamics Method for Micro/Nano Systems","type":"article-journal"},"uris":["http://www.mendeley.com/documents/?uuid=3ec0de63-ed9d-4187-88ae-986198fc7e66"]}],"mendeley":{"formattedCitation":"&lt;sup&gt;31&lt;/sup&gt;","plainTextFormattedCitation":"31","previouslyFormattedCitation":"&lt;sup&gt;31&lt;/sup&gt;"},"properties":{"noteIndex":0},"schema":"https://github.com/citation-style-language/schema/raw/master/csl-citation.json"}</w:instrText>
      </w:r>
      <w:r w:rsidRPr="00254C04">
        <w:rPr>
          <w:sz w:val="28"/>
          <w:szCs w:val="28"/>
        </w:rPr>
        <w:fldChar w:fldCharType="separate"/>
      </w:r>
      <w:r w:rsidRPr="00254C04">
        <w:rPr>
          <w:noProof/>
          <w:sz w:val="28"/>
          <w:szCs w:val="28"/>
          <w:vertAlign w:val="superscript"/>
        </w:rPr>
        <w:t>31</w:t>
      </w:r>
      <w:r w:rsidRPr="00254C04">
        <w:rPr>
          <w:sz w:val="28"/>
          <w:szCs w:val="28"/>
        </w:rPr>
        <w:fldChar w:fldCharType="end"/>
      </w:r>
      <w:r w:rsidRPr="00254C04">
        <w:rPr>
          <w:sz w:val="28"/>
          <w:szCs w:val="28"/>
        </w:rPr>
        <w:t>. More specifically, implementation of the wave-packet formalism gives us the information regarding to phonon scattering at the interfaces</w:t>
      </w:r>
      <w:r w:rsidRPr="00254C04">
        <w:rPr>
          <w:sz w:val="28"/>
          <w:szCs w:val="28"/>
        </w:rPr>
        <w:fldChar w:fldCharType="begin" w:fldLock="1"/>
      </w:r>
      <w:r w:rsidRPr="00254C04">
        <w:rPr>
          <w:sz w:val="28"/>
          <w:szCs w:val="28"/>
        </w:rPr>
        <w:instrText>ADDIN CSL_CITATION {"citationItems":[{"id":"ITEM-1","itemData":{"DOI":"10.1021/acsaem.9b02368","ISSN":"2574-0962","author":[{"dropping-particle":"","family":"Giaremis","given":"Stefanos","non-dropping-particle":"","parse-names":false,"suffix":""},{"dropping-particle":"","family":"Kioseoglou","given":"Joseph","non-dropping-particle":"","parse-names":false,"suffix":""},{"dropping-particle":"","family":"Desmarchelier","given":"Paul","non-dropping-particle":"","parse-names":false,"suffix":""},{"dropping-particle":"","family":"Tanguy","given":"Anne","non-dropping-particle":"","parse-names":false,"suffix":""},{"dropping-particle":"","family":"Isaiev","given":"Mykola","non-dropping-particle":"","parse-names":false,"suffix":""},{"dropping-particle":"","family":"Belabbas","given":"Imad","non-dropping-particle":"","parse-names":false,"suffix":""},{"dropping-particle":"","family":"Komninou","given":"Philomela","non-dropping-particle":"","parse-names":false,"suffix":""},{"dropping-particle":"","family":"Termentzidis","given":"Konstantinos","non-dropping-particle":"","parse-names":false,"suffix":""}],"container-title":"ACS Applied Energy Materials","id":"ITEM-1","issue":"3","issued":{"date-parts":[["2020"]]},"page":"2682-2694","title":"Decorated Dislocations against Phonon Propagation for Thermal Management","type":"article-journal","volume":"3"},"uris":["http://www.mendeley.com/documents/?uuid=4016986b-7cd5-4d25-963e-5fca77902734"]}],"mendeley":{"formattedCitation":"&lt;sup&gt;32&lt;/sup&gt;","plainTextFormattedCitation":"32","previouslyFormattedCitation":"&lt;sup&gt;32&lt;/sup&gt;"},"properties":{"noteIndex":0},"schema":"https://github.com/citation-style-language/schema/raw/master/csl-citation.json"}</w:instrText>
      </w:r>
      <w:r w:rsidRPr="00254C04">
        <w:rPr>
          <w:sz w:val="28"/>
          <w:szCs w:val="28"/>
        </w:rPr>
        <w:fldChar w:fldCharType="separate"/>
      </w:r>
      <w:r w:rsidRPr="00254C04">
        <w:rPr>
          <w:noProof/>
          <w:sz w:val="28"/>
          <w:szCs w:val="28"/>
          <w:vertAlign w:val="superscript"/>
        </w:rPr>
        <w:t>32</w:t>
      </w:r>
      <w:r w:rsidRPr="00254C04">
        <w:rPr>
          <w:sz w:val="28"/>
          <w:szCs w:val="28"/>
        </w:rPr>
        <w:fldChar w:fldCharType="end"/>
      </w:r>
      <w:r w:rsidRPr="00254C04">
        <w:rPr>
          <w:sz w:val="28"/>
          <w:szCs w:val="28"/>
        </w:rPr>
        <w:t xml:space="preserve"> which is crucial to understand energy transfer. These data will relate to the parameters that define interaction between solid and liquid in the same way as PI did for wetting angle (see </w:t>
      </w:r>
      <w:r w:rsidRPr="00254C04">
        <w:rPr>
          <w:b/>
          <w:bCs/>
          <w:sz w:val="28"/>
          <w:szCs w:val="28"/>
        </w:rPr>
        <w:t xml:space="preserve">Fig. </w:t>
      </w:r>
      <w:r w:rsidRPr="00254C04">
        <w:rPr>
          <w:b/>
          <w:bCs/>
          <w:sz w:val="28"/>
          <w:szCs w:val="28"/>
        </w:rPr>
        <w:t>2</w:t>
      </w:r>
      <w:r w:rsidRPr="00254C04">
        <w:rPr>
          <w:sz w:val="28"/>
          <w:szCs w:val="28"/>
        </w:rPr>
        <w:t xml:space="preserve">). </w:t>
      </w:r>
    </w:p>
    <w:p w14:paraId="1219C082" w14:textId="77777777" w:rsidR="00254C04" w:rsidRPr="00254C04" w:rsidRDefault="00254C04" w:rsidP="00254C04">
      <w:pPr>
        <w:spacing w:before="120"/>
        <w:jc w:val="both"/>
        <w:rPr>
          <w:i/>
          <w:sz w:val="28"/>
          <w:szCs w:val="28"/>
          <w:u w:val="single"/>
        </w:rPr>
      </w:pPr>
      <w:r w:rsidRPr="00254C04">
        <w:rPr>
          <w:i/>
          <w:sz w:val="28"/>
          <w:szCs w:val="28"/>
          <w:u w:val="single"/>
        </w:rPr>
        <w:t>Equilibrium and non-equilibrium Molecular Dynamics:</w:t>
      </w:r>
    </w:p>
    <w:p w14:paraId="00FAEAE3" w14:textId="77777777" w:rsidR="00254C04" w:rsidRPr="00254C04" w:rsidRDefault="00254C04" w:rsidP="00254C04">
      <w:pPr>
        <w:spacing w:before="120"/>
        <w:jc w:val="both"/>
        <w:rPr>
          <w:sz w:val="28"/>
          <w:szCs w:val="28"/>
        </w:rPr>
      </w:pPr>
      <w:r w:rsidRPr="00254C04">
        <w:rPr>
          <w:sz w:val="28"/>
          <w:szCs w:val="28"/>
        </w:rPr>
        <w:t>As it was mentioned previously, one can evaluate heat and mass transfer in the heterogeneous solid-fluid composite media featuring the interface with the use of MD approaches. As an example, non-equilibrium MD (NEMD) and equilibrium MD (EMD) for thermal conductivity evaluation can be mentioned</w:t>
      </w:r>
      <w:r w:rsidRPr="00254C04">
        <w:rPr>
          <w:sz w:val="28"/>
          <w:szCs w:val="28"/>
        </w:rPr>
        <w:fldChar w:fldCharType="begin" w:fldLock="1"/>
      </w:r>
      <w:r w:rsidRPr="00254C04">
        <w:rPr>
          <w:sz w:val="28"/>
          <w:szCs w:val="28"/>
        </w:rPr>
        <w:instrText>ADDIN CSL_CITATION {"citationItems":[{"id":"ITEM-1","itemData":{"DOI":"10.1016/j.ijmultiphaseflow.2009.07.008","ISBN":"0301-9322","ISSN":"03019322","abstract":"Enhanced convection, transient conduction, microlayer evaporation, and contact line heat transfer have all been proposed as mechanisms by which bubbles transfer energy during boiling. Models based on these mechanisms contain fitting parameters that are used to fit them to the data, resulting a proliferation of \"validated\" models. A review of the recent experimental, analytical, and numerical work into single bubble heat transfer is presented to determine the contribution of each of the above mechanisms to the overall heat transfer. Transient conduction and microconvection are found to be the dominant heat transfer mechanisms. Heat transfer through the microlayer and at the three-phase contact line do not contribute more than about 25% of the overall heat transfer. © 2009 Elsevier Ltd. All rights reserved.","author":[{"dropping-particle":"","family":"Kim","given":"Jungho","non-dropping-particle":"","parse-names":false,"suffix":""}],"container-title":"International Journal of Multiphase Flow","id":"ITEM-1","issue":"12","issued":{"date-parts":[["2009"]]},"page":"1067-1076","publisher":"Elsevier Ltd","title":"Review of nucleate pool boiling bubble heat transfer mechanisms","type":"article-journal","volume":"35"},"uris":["http://www.mendeley.com/documents/?uuid=aa3636b5-8a1d-45b8-9113-1dd6e38112fb"]}],"mendeley":{"formattedCitation":"&lt;sup&gt;33&lt;/sup&gt;","plainTextFormattedCitation":"33","previouslyFormattedCitation":"&lt;sup&gt;33&lt;/sup&gt;"},"properties":{"noteIndex":0},"schema":"https://github.com/citation-style-language/schema/raw/master/csl-citation.json"}</w:instrText>
      </w:r>
      <w:r w:rsidRPr="00254C04">
        <w:rPr>
          <w:sz w:val="28"/>
          <w:szCs w:val="28"/>
        </w:rPr>
        <w:fldChar w:fldCharType="separate"/>
      </w:r>
      <w:r w:rsidRPr="00254C04">
        <w:rPr>
          <w:noProof/>
          <w:sz w:val="28"/>
          <w:szCs w:val="28"/>
          <w:vertAlign w:val="superscript"/>
        </w:rPr>
        <w:t>33</w:t>
      </w:r>
      <w:r w:rsidRPr="00254C04">
        <w:rPr>
          <w:sz w:val="28"/>
          <w:szCs w:val="28"/>
        </w:rPr>
        <w:fldChar w:fldCharType="end"/>
      </w:r>
      <w:r w:rsidRPr="00254C04">
        <w:rPr>
          <w:sz w:val="28"/>
          <w:szCs w:val="28"/>
        </w:rPr>
        <w:t xml:space="preserve">. Both approaches can be used to study diffusion and viscosity effects of liquid layer adjusted to solid substrate, heat transfer coefficients from solid to fluid, boundary thermal resistance of interface between solid and fluid, etc. These parameters are critical to apply </w:t>
      </w:r>
      <w:r w:rsidRPr="00254C04">
        <w:rPr>
          <w:rStyle w:val="st"/>
          <w:sz w:val="28"/>
          <w:szCs w:val="28"/>
        </w:rPr>
        <w:t>conservation of mass, momentum, and energy in</w:t>
      </w:r>
      <w:r w:rsidRPr="00254C04">
        <w:rPr>
          <w:rStyle w:val="Emphasis"/>
          <w:sz w:val="28"/>
          <w:szCs w:val="28"/>
        </w:rPr>
        <w:t xml:space="preserve"> classical</w:t>
      </w:r>
      <w:r w:rsidRPr="00254C04">
        <w:rPr>
          <w:rStyle w:val="st"/>
          <w:sz w:val="28"/>
          <w:szCs w:val="28"/>
        </w:rPr>
        <w:t xml:space="preserve"> macroscopic models of</w:t>
      </w:r>
      <w:r w:rsidRPr="00254C04">
        <w:rPr>
          <w:rStyle w:val="Emphasis"/>
          <w:sz w:val="28"/>
          <w:szCs w:val="28"/>
        </w:rPr>
        <w:t xml:space="preserve"> heat and mass transfers, and fluid mechanics.</w:t>
      </w:r>
      <w:r w:rsidRPr="00254C04">
        <w:rPr>
          <w:rStyle w:val="st"/>
          <w:sz w:val="28"/>
          <w:szCs w:val="28"/>
        </w:rPr>
        <w:t xml:space="preserve"> </w:t>
      </w:r>
      <w:r w:rsidRPr="00254C04">
        <w:rPr>
          <w:sz w:val="28"/>
          <w:szCs w:val="28"/>
        </w:rPr>
        <w:t>MD was successfully applied for the study of thermal and mass transport across the solid/fluid interface</w:t>
      </w:r>
      <w:r w:rsidRPr="00254C04">
        <w:rPr>
          <w:sz w:val="28"/>
          <w:szCs w:val="28"/>
        </w:rPr>
        <w:fldChar w:fldCharType="begin" w:fldLock="1"/>
      </w:r>
      <w:r w:rsidRPr="00254C04">
        <w:rPr>
          <w:sz w:val="28"/>
          <w:szCs w:val="28"/>
        </w:rPr>
        <w:instrText>ADDIN CSL_CITATION {"citationItems":[{"id":"ITEM-1","itemData":{"DOI":"10.1016/j.ijthermalsci.2013.10.012","ISSN":"12900729","abstract":"Molecular dynamics (MD) simulations of heat transport through a water-silicon system are performed to investigate the thermal resistance at water/silicon interface. Interaction strength between water and silicon is varied in order to understand its effects while the proper strength value is characterized by matching the nano-scale contact angle value with the micro-scale experimental measurements through a water droplet study. Depending on surface wettability, different water distributions are developed near the surface, creating different couplings between water and silicon molecules for phonon transport. In addition, near surface water density is found to be dependent on the surface temperature for high wetting cases that closer packing of water molecules is observed near the cold surface. Interface thermal resistance values measured as Kapitza length (LK) showed strong dependence on water density structure formed next to the surface. Hence, variation of LK with temperature is not only measured due to the temperature dependence of phonon transport, but also due to the variation of near surface density with temperature. For studied water/silicon system (slightly hydrophobic with contact angle of 88), density is independent of surface temperature, and LK decreases with increased temperature similar to the theoretical phonon transport predictions. MD predicted L K values (≈9 nm) are found to be consistent with experimental measurements.© 2013 Elsevier Masson SAS. All rights reserved.","author":[{"dropping-particle":"","family":"Barisik","given":"Murat","non-dropping-particle":"","parse-names":false,"suffix":""},{"dropping-particle":"","family":"Beskok","given":"Ali","non-dropping-particle":"","parse-names":false,"suffix":""}],"container-title":"International Journal of Thermal Sciences","id":"ITEM-1","issued":{"date-parts":[["2014"]]},"page":"47-54","publisher":"Elsevier Masson SAS","title":"Temperature dependence of thermal resistance at the water/silicon interface","type":"article-journal","volume":"77"},"uris":["http://www.mendeley.com/documents/?uuid=29e1a99b-dcd4-4881-a86e-96277c69ab55"]},{"id":"ITEM-2","itemData":{"DOI":"10.1007/s12541-014-0341-x","ISBN":"1254101403","ISSN":"20054602","abstract":"© 2014, Korean Society for Precision Engineering and Springer-Verlag Berlin Heidelberg.A comprehensive understanding of heat conduction between two parallel solid walls separated by liquid remains incomplete in nanometer scale. In addition, the solid/liquid interfacial thermal resistance has been an important technical issue in thermal/fluid engineering such as micro electro-mechanical systems and nano electro-mechanical systems with liquid inside. Therefore, further advancements in nanoscale physics require an advanced understanding of momentum and energy transport at solid/liquid interfaces. This study employs three-dimensional molecular dynamics (MD) simulations to investigate the thermal resistance at solid/liquid interfaces. Heat conduction between two parallel silicon walls separated by a thin film of liquid water is considered. The density distribution of liquid water is discussed with the simulation results to further understanding of the dynamic properties of water near solid surfaces. Meanwhile, temperature profiles appear discontinuous between liquid and solid temperatures due to the dissimilarity of thermal transport properties of the two materials, which validates thermal resistance (or Kapitza length) at solid/liquid interfaces. MD results also investigate the temperature dependence of the Kapitza length, demonstrating that the Kaptiza lengths fluctuate around an average value and are independent of the wall temperature at solid/liquid interfaces. Our study provides useful information for the design of thermal management or heat dissipation devices across silicon/water and silicon/argon interfaces in nanoscale.","author":[{"dropping-particle":"","family":"Pham","given":"An Truong","non-dropping-particle":"","parse-names":false,"suffix":""},{"dropping-particle":"","family":"Barisik","given":"Murat","non-dropping-particle":"","parse-names":false,"suffix":""},{"dropping-particle":"","family":"Kim","given":"Bohung","non-dropping-particle":"","parse-names":false,"suffix":""}],"container-title":"International Journal of Precision Engineering and Manufacturing","id":"ITEM-2","issue":"2","issued":{"date-parts":[["2014"]]},"page":"323-329","title":"Molecular dynamics simulations of Kapitza length for argon-silicon and water-silicon interfaces","type":"article-journal","volume":"15"},"uris":["http://www.mendeley.com/documents/?uuid=eea2011c-2f0c-4af4-bd4a-990a34b8e0cb"]},{"id":"ITEM-3","itemData":{"DOI":"10.1021/acs.jpcc.7b01689","ISSN":"1932-7447","abstract":"Nonequilibrium classical molecular dynamics simulations were employed to investigate thermal transport across crystalline and amorphous silicon (a-Si) surfaces in contact with water for different interfacial bonding strengths. A spectral analysis of heat transfer across the different interfaces revealed the characteristics of the phonon modes contributing to thermal transport. Low-frequency modes contributed the most in hydrophobic interfaces, while a shift toward contribution from higher frequency modes was found for hydrophilic surfaces. The shift to higher frequency modes was not significant for a-Si and crystalline Si(111) interfaces. In-plane phonon modes significantly contributed to heat transfer in Si(100), less significantly in a-Si, and had a minimum contribution in Si(111) hydrophilic interfaces. While the wettability and solid−liquid bonding strength failed in explaining these observations, the interfacial liquid density depletion helped to understand the differences between Si(100) and a-Si interfaces with respect to the Si(111) interface. The interface liquid structure observed in the Si(100) but not in the a-Si system served as an explanation for the dominant contribution of in-plane modes in Si(100). These observations posed the density depletion and liquid structure at solid−liquid interfaces as useful parameters for explaining the underlying mechanisms of phonon transport at solid−liquid interfaces.","author":[{"dropping-particle":"","family":"Ramos-Alvarado","given":"Bladimir","non-dropping-particle":"","parse-names":false,"suffix":""},{"dropping-particle":"","family":"Kumar","given":"Satish","non-dropping-particle":"","parse-names":false,"suffix":""}],"container-title":"The Journal of Physical Chemistry C","id":"ITEM-3","issue":"21","issued":{"date-parts":[["2017"]]},"page":"11380-11389","title":"Spectral Analysis of the Heat Flow Across Crystalline and Amorphous Si–Water Interfaces","type":"article-journal","volume":"121"},"uris":["http://www.mendeley.com/documents/?uuid=11fcb03e-a83d-4b7b-81ea-035f522298b8"]}],"mendeley":{"formattedCitation":"&lt;sup&gt;34–36&lt;/sup&gt;","plainTextFormattedCitation":"34–36","previouslyFormattedCitation":"&lt;sup&gt;34–36&lt;/sup&gt;"},"properties":{"noteIndex":0},"schema":"https://github.com/citation-style-language/schema/raw/master/csl-citation.json"}</w:instrText>
      </w:r>
      <w:r w:rsidRPr="00254C04">
        <w:rPr>
          <w:sz w:val="28"/>
          <w:szCs w:val="28"/>
        </w:rPr>
        <w:fldChar w:fldCharType="separate"/>
      </w:r>
      <w:r w:rsidRPr="00254C04">
        <w:rPr>
          <w:noProof/>
          <w:sz w:val="28"/>
          <w:szCs w:val="28"/>
          <w:vertAlign w:val="superscript"/>
        </w:rPr>
        <w:t>34–36</w:t>
      </w:r>
      <w:r w:rsidRPr="00254C04">
        <w:rPr>
          <w:sz w:val="28"/>
          <w:szCs w:val="28"/>
        </w:rPr>
        <w:fldChar w:fldCharType="end"/>
      </w:r>
      <w:r w:rsidRPr="00254C04">
        <w:rPr>
          <w:sz w:val="28"/>
          <w:szCs w:val="28"/>
        </w:rPr>
        <w:t xml:space="preserve">. However, almost all approaches presented in the literature were limited to the case of smooth </w:t>
      </w:r>
      <w:r w:rsidRPr="00254C04">
        <w:rPr>
          <w:sz w:val="28"/>
          <w:szCs w:val="28"/>
        </w:rPr>
        <w:lastRenderedPageBreak/>
        <w:t>interfaces. The main goal of the project will be focused on the investigation of the influence of heterogeneity of solid surface on molecular and thermal transport across the interface. Additionally, in the project the influence of the nano-impurities in liquid (nanoparticles) contacting with solid substrate on the thermal and mass transport coefficients will be considered.</w:t>
      </w:r>
    </w:p>
    <w:p w14:paraId="3511A7A9" w14:textId="77777777" w:rsidR="00254C04" w:rsidRPr="00254C04" w:rsidRDefault="00254C04" w:rsidP="00254C04">
      <w:pPr>
        <w:spacing w:before="120"/>
        <w:jc w:val="both"/>
        <w:rPr>
          <w:sz w:val="28"/>
          <w:szCs w:val="28"/>
        </w:rPr>
      </w:pPr>
      <w:r w:rsidRPr="00254C04">
        <w:rPr>
          <w:sz w:val="28"/>
          <w:szCs w:val="28"/>
        </w:rPr>
        <w:t xml:space="preserve">Below we present a list of MD methods that will be used during the project implementation. </w:t>
      </w:r>
    </w:p>
    <w:p w14:paraId="0159C3C9" w14:textId="77777777" w:rsidR="00254C04" w:rsidRPr="00254C04" w:rsidRDefault="00254C04" w:rsidP="00254C04">
      <w:pPr>
        <w:spacing w:before="120"/>
        <w:jc w:val="both"/>
        <w:rPr>
          <w:sz w:val="28"/>
          <w:szCs w:val="28"/>
        </w:rPr>
      </w:pPr>
      <w:r w:rsidRPr="00254C04">
        <w:rPr>
          <w:sz w:val="28"/>
          <w:szCs w:val="28"/>
        </w:rPr>
        <w:t>Both equilibrium (EMD) and non-equilibrium (NEMD) are based on the time-reversible equations of motion. The NEMD shows a consistent macroscopic basis for the irreversible macroscopic second law of thermodynamics</w:t>
      </w:r>
      <w:r w:rsidRPr="00254C04">
        <w:rPr>
          <w:sz w:val="28"/>
          <w:szCs w:val="28"/>
        </w:rPr>
        <w:fldChar w:fldCharType="begin" w:fldLock="1"/>
      </w:r>
      <w:r w:rsidRPr="00254C04">
        <w:rPr>
          <w:sz w:val="28"/>
          <w:szCs w:val="28"/>
        </w:rPr>
        <w:instrText>ADDIN CSL_CITATION {"citationItems":[{"id":"ITEM-1","itemData":{"DOI":"10.5488/CMP.8.2.247","ISSN":"1607324X","author":[{"dropping-particle":"","family":"Hoover","given":"Wm.G.","non-dropping-particle":"","parse-names":false,"suffix":""},{"dropping-particle":"","family":"Hoover","given":"C.G.","non-dropping-particle":"","parse-names":false,"suffix":""}],"container-title":"Condensed Matter Physics","id":"ITEM-1","issue":"2","issued":{"date-parts":[["2005"]]},"page":"247","title":"Nonequilibrium molecular dynamics","type":"article-journal","volume":"8"},"uris":["http://www.mendeley.com/documents/?uuid=ec120c84-2f1e-4147-9500-704547bad638"]},{"id":"ITEM-2","itemData":{"DOI":"10.1080/00268978400101201","ISSN":"0026-8976","author":[{"dropping-particle":"","family":"Nosé","given":"Shūichi","non-dropping-particle":"","parse-names":false,"suffix":""}],"container-title":"Molecular Physics","id":"ITEM-2","issue":"2","issued":{"date-parts":[["1984","6","10"]]},"page":"255-268","title":"A molecular dynamics method for simulations in the canonical ensemble","type":"article-journal","volume":"52"},"uris":["http://www.mendeley.com/documents/?uuid=00c4a5f2-abf6-468e-be81-cd6cf04a8385"]}],"mendeley":{"formattedCitation":"&lt;sup&gt;37,38&lt;/sup&gt;","plainTextFormattedCitation":"37,38","previouslyFormattedCitation":"&lt;sup&gt;37,38&lt;/sup&gt;"},"properties":{"noteIndex":0},"schema":"https://github.com/citation-style-language/schema/raw/master/csl-citation.json"}</w:instrText>
      </w:r>
      <w:r w:rsidRPr="00254C04">
        <w:rPr>
          <w:sz w:val="28"/>
          <w:szCs w:val="28"/>
        </w:rPr>
        <w:fldChar w:fldCharType="separate"/>
      </w:r>
      <w:r w:rsidRPr="00254C04">
        <w:rPr>
          <w:noProof/>
          <w:sz w:val="28"/>
          <w:szCs w:val="28"/>
          <w:vertAlign w:val="superscript"/>
        </w:rPr>
        <w:t>37,38</w:t>
      </w:r>
      <w:r w:rsidRPr="00254C04">
        <w:rPr>
          <w:sz w:val="28"/>
          <w:szCs w:val="28"/>
        </w:rPr>
        <w:fldChar w:fldCharType="end"/>
      </w:r>
      <w:r w:rsidRPr="00254C04">
        <w:rPr>
          <w:sz w:val="28"/>
          <w:szCs w:val="28"/>
        </w:rPr>
        <w:t>. The main idea for using NEMD is to apply spatial distribution of the controlled variables like temperature (heating and cooling distinct regions as seen in Fig. 2), constraint, pressure, or heat flux</w:t>
      </w:r>
      <w:r w:rsidRPr="00254C04">
        <w:rPr>
          <w:sz w:val="28"/>
          <w:szCs w:val="28"/>
        </w:rPr>
        <w:fldChar w:fldCharType="begin" w:fldLock="1"/>
      </w:r>
      <w:r w:rsidRPr="00254C04">
        <w:rPr>
          <w:sz w:val="28"/>
          <w:szCs w:val="28"/>
        </w:rPr>
        <w:instrText>ADDIN CSL_CITATION {"citationItems":[{"id":"ITEM-1","itemData":{"DOI":"10.5488/CMP.8.2.247","ISSN":"1607324X","author":[{"dropping-particle":"","family":"Hoover","given":"Wm.G.","non-dropping-particle":"","parse-names":false,"suffix":""},{"dropping-particle":"","family":"Hoover","given":"C.G.","non-dropping-particle":"","parse-names":false,"suffix":""}],"container-title":"Condensed Matter Physics","id":"ITEM-1","issue":"2","issued":{"date-parts":[["2005"]]},"page":"247","title":"Nonequilibrium molecular dynamics","type":"article-journal","volume":"8"},"uris":["http://www.mendeley.com/documents/?uuid=ec120c84-2f1e-4147-9500-704547bad638"]}],"mendeley":{"formattedCitation":"&lt;sup&gt;37&lt;/sup&gt;","plainTextFormattedCitation":"37","previouslyFormattedCitation":"&lt;sup&gt;37&lt;/sup&gt;"},"properties":{"noteIndex":0},"schema":"https://github.com/citation-style-language/schema/raw/master/csl-citation.json"}</w:instrText>
      </w:r>
      <w:r w:rsidRPr="00254C04">
        <w:rPr>
          <w:sz w:val="28"/>
          <w:szCs w:val="28"/>
        </w:rPr>
        <w:fldChar w:fldCharType="separate"/>
      </w:r>
      <w:r w:rsidRPr="00254C04">
        <w:rPr>
          <w:noProof/>
          <w:sz w:val="28"/>
          <w:szCs w:val="28"/>
          <w:vertAlign w:val="superscript"/>
        </w:rPr>
        <w:t>37</w:t>
      </w:r>
      <w:r w:rsidRPr="00254C04">
        <w:rPr>
          <w:sz w:val="28"/>
          <w:szCs w:val="28"/>
        </w:rPr>
        <w:fldChar w:fldCharType="end"/>
      </w:r>
      <w:r w:rsidRPr="00254C04">
        <w:rPr>
          <w:sz w:val="28"/>
          <w:szCs w:val="28"/>
        </w:rPr>
        <w:t xml:space="preserve">. On the other hand, when using EMD, we consider fluctuations of the system around equilibrium. As a well-known example, for calculation of thermal conductivity in the system one can use the following equation based on Green-Kubo formalism: </w:t>
      </w:r>
    </w:p>
    <w:p w14:paraId="6BB89646" w14:textId="77777777" w:rsidR="00254C04" w:rsidRPr="00254C04" w:rsidRDefault="00254C04" w:rsidP="00254C04">
      <w:pPr>
        <w:spacing w:before="120"/>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κ</m:t>
              </m:r>
            </m:e>
            <m:sub>
              <m:r>
                <w:rPr>
                  <w:rFonts w:ascii="Cambria Math" w:hAnsi="Cambria Math"/>
                  <w:sz w:val="28"/>
                  <w:szCs w:val="28"/>
                  <w:lang w:val="en-US"/>
                </w:rPr>
                <m:t>ij</m:t>
              </m:r>
            </m:sub>
          </m:sSub>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V</m:t>
              </m:r>
            </m:num>
            <m:den>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B</m:t>
                  </m:r>
                </m:sub>
              </m:sSub>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2</m:t>
                  </m:r>
                </m:sup>
              </m:sSup>
            </m:den>
          </m:f>
          <m:nary>
            <m:naryPr>
              <m:limLoc m:val="undOvr"/>
              <m:ctrlPr>
                <w:rPr>
                  <w:rFonts w:ascii="Cambria Math" w:hAnsi="Cambria Math"/>
                  <w:i/>
                  <w:sz w:val="28"/>
                  <w:szCs w:val="28"/>
                  <w:lang w:val="en-US"/>
                </w:rPr>
              </m:ctrlPr>
            </m:naryPr>
            <m:sub>
              <m:r>
                <w:rPr>
                  <w:rFonts w:ascii="Cambria Math" w:hAnsi="Cambria Math"/>
                  <w:sz w:val="28"/>
                  <w:szCs w:val="28"/>
                  <w:lang w:val="en-US"/>
                </w:rPr>
                <m:t>0</m:t>
              </m:r>
            </m:sub>
            <m:sup>
              <m:r>
                <w:rPr>
                  <w:rFonts w:ascii="Cambria Math" w:hAnsi="Cambria Math"/>
                  <w:sz w:val="28"/>
                  <w:szCs w:val="28"/>
                  <w:lang w:val="en-US"/>
                </w:rPr>
                <m:t>∞</m:t>
              </m:r>
            </m:sup>
            <m:e>
              <m:r>
                <w:rPr>
                  <w:rFonts w:ascii="Cambria Math" w:hAnsi="Cambria Math"/>
                  <w:sz w:val="28"/>
                  <w:szCs w:val="28"/>
                  <w:lang w:val="en-US"/>
                </w:rPr>
                <m:t>dt</m:t>
              </m:r>
              <m:d>
                <m:dPr>
                  <m:begChr m:val="〈"/>
                  <m:endChr m:val="〉"/>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J</m:t>
                      </m:r>
                    </m:e>
                    <m:sub>
                      <m:r>
                        <w:rPr>
                          <w:rFonts w:ascii="Cambria Math" w:hAnsi="Cambria Math"/>
                          <w:sz w:val="28"/>
                          <w:szCs w:val="28"/>
                          <w:lang w:val="en-US"/>
                        </w:rPr>
                        <m:t>i</m:t>
                      </m:r>
                    </m:sub>
                  </m:sSub>
                  <m:d>
                    <m:dPr>
                      <m:ctrlPr>
                        <w:rPr>
                          <w:rFonts w:ascii="Cambria Math" w:hAnsi="Cambria Math"/>
                          <w:i/>
                          <w:sz w:val="28"/>
                          <w:szCs w:val="28"/>
                          <w:lang w:val="en-US"/>
                        </w:rPr>
                      </m:ctrlPr>
                    </m:dPr>
                    <m:e>
                      <m:r>
                        <w:rPr>
                          <w:rFonts w:ascii="Cambria Math" w:hAnsi="Cambria Math"/>
                          <w:sz w:val="28"/>
                          <w:szCs w:val="28"/>
                          <w:lang w:val="en-US"/>
                        </w:rPr>
                        <m:t>t</m:t>
                      </m:r>
                    </m:e>
                  </m:d>
                  <m:sSub>
                    <m:sSubPr>
                      <m:ctrlPr>
                        <w:rPr>
                          <w:rFonts w:ascii="Cambria Math" w:hAnsi="Cambria Math"/>
                          <w:i/>
                          <w:sz w:val="28"/>
                          <w:szCs w:val="28"/>
                          <w:lang w:val="en-US"/>
                        </w:rPr>
                      </m:ctrlPr>
                    </m:sSubPr>
                    <m:e>
                      <m:r>
                        <w:rPr>
                          <w:rFonts w:ascii="Cambria Math" w:hAnsi="Cambria Math"/>
                          <w:sz w:val="28"/>
                          <w:szCs w:val="28"/>
                          <w:lang w:val="en-US"/>
                        </w:rPr>
                        <m:t>J</m:t>
                      </m:r>
                    </m:e>
                    <m:sub>
                      <m:r>
                        <w:rPr>
                          <w:rFonts w:ascii="Cambria Math" w:hAnsi="Cambria Math"/>
                          <w:sz w:val="28"/>
                          <w:szCs w:val="28"/>
                          <w:lang w:val="en-US"/>
                        </w:rPr>
                        <m:t>j</m:t>
                      </m:r>
                    </m:sub>
                  </m:sSub>
                  <m:r>
                    <w:rPr>
                      <w:rFonts w:ascii="Cambria Math" w:hAnsi="Cambria Math"/>
                      <w:sz w:val="28"/>
                      <w:szCs w:val="28"/>
                      <w:lang w:val="en-US"/>
                    </w:rPr>
                    <m:t>(0)</m:t>
                  </m:r>
                </m:e>
              </m:d>
              <m:r>
                <w:rPr>
                  <w:rFonts w:ascii="Cambria Math" w:hAnsi="Cambria Math"/>
                  <w:sz w:val="28"/>
                  <w:szCs w:val="28"/>
                  <w:lang w:val="en-US"/>
                </w:rPr>
                <m:t>,</m:t>
              </m:r>
            </m:e>
          </m:nary>
        </m:oMath>
      </m:oMathPara>
    </w:p>
    <w:p w14:paraId="2369EFFC" w14:textId="77777777" w:rsidR="00254C04" w:rsidRPr="00254C04" w:rsidRDefault="00254C04" w:rsidP="00254C04">
      <w:pPr>
        <w:pStyle w:val="Textbody"/>
        <w:spacing w:before="120" w:after="0" w:line="0" w:lineRule="atLeast"/>
        <w:jc w:val="both"/>
        <w:rPr>
          <w:rFonts w:ascii="Times New Roman" w:hAnsi="Times New Roman" w:cs="Times New Roman"/>
          <w:sz w:val="28"/>
          <w:szCs w:val="28"/>
        </w:rPr>
      </w:pPr>
      <w:r w:rsidRPr="00254C04">
        <w:rPr>
          <w:rFonts w:ascii="Times New Roman" w:hAnsi="Times New Roman" w:cs="Times New Roman"/>
          <w:sz w:val="28"/>
          <w:szCs w:val="28"/>
          <w:lang w:val="en-GB"/>
        </w:rPr>
        <w:t xml:space="preserve">where </w:t>
      </w:r>
      <m:oMath>
        <m:sSub>
          <m:sSubPr>
            <m:ctrlPr>
              <w:rPr>
                <w:rFonts w:ascii="Cambria Math" w:hAnsi="Cambria Math"/>
                <w:i/>
                <w:sz w:val="28"/>
                <w:szCs w:val="28"/>
              </w:rPr>
            </m:ctrlPr>
          </m:sSubPr>
          <m:e>
            <m:r>
              <w:rPr>
                <w:rFonts w:ascii="Cambria Math" w:hAnsi="Cambria Math"/>
                <w:sz w:val="28"/>
                <w:szCs w:val="28"/>
              </w:rPr>
              <m:t>κ</m:t>
            </m:r>
          </m:e>
          <m:sub>
            <m:r>
              <w:rPr>
                <w:rFonts w:ascii="Cambria Math" w:hAnsi="Cambria Math"/>
                <w:sz w:val="28"/>
                <w:szCs w:val="28"/>
              </w:rPr>
              <m:t>ij</m:t>
            </m:r>
          </m:sub>
        </m:sSub>
      </m:oMath>
      <w:r w:rsidRPr="00254C04">
        <w:rPr>
          <w:rFonts w:ascii="Times New Roman" w:hAnsi="Times New Roman" w:cs="Times New Roman"/>
          <w:sz w:val="28"/>
          <w:szCs w:val="28"/>
        </w:rPr>
        <w:t xml:space="preserve"> is the thermal conductivity, V is the volume of considered system, T is the temperature, </w:t>
      </w:r>
      <m:oMath>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i</m:t>
            </m:r>
          </m:sub>
        </m:sSub>
        <m:d>
          <m:dPr>
            <m:ctrlPr>
              <w:rPr>
                <w:rFonts w:ascii="Cambria Math" w:hAnsi="Cambria Math"/>
                <w:i/>
                <w:sz w:val="28"/>
                <w:szCs w:val="28"/>
              </w:rPr>
            </m:ctrlPr>
          </m:dPr>
          <m:e>
            <m:r>
              <w:rPr>
                <w:rFonts w:ascii="Cambria Math" w:hAnsi="Cambria Math"/>
                <w:sz w:val="28"/>
                <w:szCs w:val="28"/>
              </w:rPr>
              <m:t>t</m:t>
            </m:r>
          </m:e>
        </m:d>
      </m:oMath>
      <w:r w:rsidRPr="00254C04">
        <w:rPr>
          <w:rFonts w:ascii="Times New Roman" w:hAnsi="Times New Roman" w:cs="Times New Roman"/>
          <w:sz w:val="28"/>
          <w:szCs w:val="28"/>
        </w:rPr>
        <w:t xml:space="preserve"> is the heat flux in “</w:t>
      </w:r>
      <w:proofErr w:type="spellStart"/>
      <w:r w:rsidRPr="00254C04">
        <w:rPr>
          <w:rFonts w:ascii="Times New Roman" w:hAnsi="Times New Roman" w:cs="Times New Roman"/>
          <w:i/>
          <w:iCs/>
          <w:sz w:val="28"/>
          <w:szCs w:val="28"/>
        </w:rPr>
        <w:t>i</w:t>
      </w:r>
      <w:r w:rsidRPr="00254C04">
        <w:rPr>
          <w:rFonts w:ascii="Times New Roman" w:hAnsi="Times New Roman" w:cs="Times New Roman"/>
          <w:i/>
          <w:iCs/>
          <w:sz w:val="28"/>
          <w:szCs w:val="28"/>
          <w:vertAlign w:val="superscript"/>
        </w:rPr>
        <w:t>th</w:t>
      </w:r>
      <w:proofErr w:type="spellEnd"/>
      <w:r w:rsidRPr="00254C04">
        <w:rPr>
          <w:rFonts w:ascii="Times New Roman" w:hAnsi="Times New Roman" w:cs="Times New Roman"/>
          <w:sz w:val="28"/>
          <w:szCs w:val="28"/>
        </w:rPr>
        <w:t xml:space="preserve">” direction. The main advantage of this approach is the possibility to </w:t>
      </w:r>
      <w:proofErr w:type="gramStart"/>
      <w:r w:rsidRPr="00254C04">
        <w:rPr>
          <w:rFonts w:ascii="Times New Roman" w:hAnsi="Times New Roman" w:cs="Times New Roman"/>
          <w:sz w:val="28"/>
          <w:szCs w:val="28"/>
        </w:rPr>
        <w:t>obtain directly</w:t>
      </w:r>
      <w:proofErr w:type="gramEnd"/>
      <w:r w:rsidRPr="00254C04">
        <w:rPr>
          <w:rFonts w:ascii="Times New Roman" w:hAnsi="Times New Roman" w:cs="Times New Roman"/>
          <w:sz w:val="28"/>
          <w:szCs w:val="28"/>
        </w:rPr>
        <w:t xml:space="preserve"> the anisotropy of thermal transport in the studied system at equilibrium. This has a significant importance for the investigations of hybrid systems with liquids, hence temperature gradients imposed in NEMD can modify the liquids properties. However, there are still debates regarding implementation of this approach for the study of heterogeneous system. Therefore, one of the important challenges of the project will be to verify the applicability of the equilibrium-based methods to hybrid systems. If </w:t>
      </w:r>
      <w:proofErr w:type="gramStart"/>
      <w:r w:rsidRPr="00254C04">
        <w:rPr>
          <w:rFonts w:ascii="Times New Roman" w:hAnsi="Times New Roman" w:cs="Times New Roman"/>
          <w:sz w:val="28"/>
          <w:szCs w:val="28"/>
        </w:rPr>
        <w:t>no</w:t>
      </w:r>
      <w:proofErr w:type="gramEnd"/>
      <w:r w:rsidRPr="00254C04">
        <w:rPr>
          <w:rFonts w:ascii="Times New Roman" w:hAnsi="Times New Roman" w:cs="Times New Roman"/>
          <w:sz w:val="28"/>
          <w:szCs w:val="28"/>
        </w:rPr>
        <w:t xml:space="preserve"> we will propose the necessary modifications. </w:t>
      </w:r>
    </w:p>
    <w:p w14:paraId="28DC6CDC" w14:textId="6D2B1055" w:rsidR="00254C04" w:rsidRPr="00254C04" w:rsidRDefault="00254C04" w:rsidP="00254C04">
      <w:pPr>
        <w:spacing w:before="120"/>
        <w:jc w:val="both"/>
        <w:rPr>
          <w:bCs/>
          <w:i/>
          <w:sz w:val="28"/>
          <w:szCs w:val="28"/>
        </w:rPr>
      </w:pPr>
      <w:r w:rsidRPr="00254C04">
        <w:rPr>
          <w:bCs/>
          <w:i/>
          <w:sz w:val="28"/>
          <w:szCs w:val="28"/>
        </w:rPr>
        <w:t xml:space="preserve">Tool </w:t>
      </w:r>
      <w:r w:rsidRPr="00254C04">
        <w:rPr>
          <w:bCs/>
          <w:i/>
          <w:sz w:val="28"/>
          <w:szCs w:val="28"/>
        </w:rPr>
        <w:t>2</w:t>
      </w:r>
      <w:r w:rsidRPr="00254C04">
        <w:rPr>
          <w:bCs/>
          <w:i/>
          <w:sz w:val="28"/>
          <w:szCs w:val="28"/>
        </w:rPr>
        <w:t xml:space="preserve"> - Raman spectroscopy </w:t>
      </w:r>
    </w:p>
    <w:p w14:paraId="2B490BD0" w14:textId="74F50835" w:rsidR="00254C04" w:rsidRPr="00254C04" w:rsidRDefault="00254C04" w:rsidP="00254C04">
      <w:pPr>
        <w:spacing w:before="120"/>
        <w:jc w:val="both"/>
        <w:rPr>
          <w:sz w:val="28"/>
          <w:szCs w:val="28"/>
        </w:rPr>
      </w:pPr>
      <w:r w:rsidRPr="00254C04">
        <w:rPr>
          <w:sz w:val="28"/>
          <w:szCs w:val="28"/>
        </w:rPr>
        <w:t xml:space="preserve">The typical sketch-view of the Raman setup is presented in </w:t>
      </w:r>
      <w:r w:rsidRPr="00254C04">
        <w:rPr>
          <w:b/>
          <w:bCs/>
          <w:sz w:val="28"/>
          <w:szCs w:val="28"/>
        </w:rPr>
        <w:t xml:space="preserve">Fig. </w:t>
      </w:r>
      <w:r w:rsidRPr="00254C04">
        <w:rPr>
          <w:b/>
          <w:bCs/>
          <w:sz w:val="28"/>
          <w:szCs w:val="28"/>
        </w:rPr>
        <w:t>3</w:t>
      </w:r>
      <w:r w:rsidRPr="00254C04">
        <w:rPr>
          <w:b/>
          <w:bCs/>
          <w:sz w:val="28"/>
          <w:szCs w:val="28"/>
        </w:rPr>
        <w:t xml:space="preserve"> a</w:t>
      </w:r>
      <w:r w:rsidRPr="00254C04">
        <w:rPr>
          <w:sz w:val="28"/>
          <w:szCs w:val="28"/>
        </w:rPr>
        <w:t>. In this case the laser beam is focused on the sample surface, and the reflected (or transmitted for transparent samples) light is collected by the same optical system. Then reflected light is filtered by the notch or edge filter to cut the excitation laser wavelength, and in a such way scattered light is further analysed by spectrometer.</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6"/>
        <w:gridCol w:w="2560"/>
      </w:tblGrid>
      <w:tr w:rsidR="00254C04" w:rsidRPr="00254C04" w14:paraId="6753B322" w14:textId="77777777" w:rsidTr="00B45758">
        <w:tc>
          <w:tcPr>
            <w:tcW w:w="4814" w:type="dxa"/>
          </w:tcPr>
          <w:p w14:paraId="2C5706E0" w14:textId="77777777" w:rsidR="00254C04" w:rsidRPr="00254C04" w:rsidRDefault="00254C04" w:rsidP="00B45758">
            <w:pPr>
              <w:spacing w:before="120"/>
              <w:jc w:val="both"/>
              <w:rPr>
                <w:sz w:val="28"/>
                <w:szCs w:val="28"/>
              </w:rPr>
            </w:pPr>
            <w:r w:rsidRPr="00254C04">
              <w:rPr>
                <w:noProof/>
                <w:sz w:val="28"/>
                <w:szCs w:val="28"/>
              </w:rPr>
              <w:lastRenderedPageBreak/>
              <w:drawing>
                <wp:inline distT="0" distB="0" distL="0" distR="0" wp14:anchorId="781E310F" wp14:editId="54C027AE">
                  <wp:extent cx="4210050" cy="2367990"/>
                  <wp:effectExtent l="0" t="0" r="0" b="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28848" cy="2378563"/>
                          </a:xfrm>
                          <a:prstGeom prst="rect">
                            <a:avLst/>
                          </a:prstGeom>
                        </pic:spPr>
                      </pic:pic>
                    </a:graphicData>
                  </a:graphic>
                </wp:inline>
              </w:drawing>
            </w:r>
          </w:p>
        </w:tc>
        <w:tc>
          <w:tcPr>
            <w:tcW w:w="4814" w:type="dxa"/>
            <w:vAlign w:val="center"/>
          </w:tcPr>
          <w:p w14:paraId="21AF90D3" w14:textId="40C28F90" w:rsidR="00254C04" w:rsidRPr="00254C04" w:rsidRDefault="00254C04" w:rsidP="00B45758">
            <w:pPr>
              <w:spacing w:before="120"/>
              <w:jc w:val="both"/>
              <w:rPr>
                <w:sz w:val="28"/>
                <w:szCs w:val="28"/>
              </w:rPr>
            </w:pPr>
            <w:r w:rsidRPr="00254C04">
              <w:rPr>
                <w:b/>
                <w:bCs/>
                <w:sz w:val="28"/>
                <w:szCs w:val="28"/>
              </w:rPr>
              <w:t xml:space="preserve">Fig. </w:t>
            </w:r>
            <w:r w:rsidRPr="00254C04">
              <w:rPr>
                <w:b/>
                <w:bCs/>
                <w:sz w:val="28"/>
                <w:szCs w:val="28"/>
              </w:rPr>
              <w:t>3</w:t>
            </w:r>
            <w:r w:rsidRPr="00254C04">
              <w:rPr>
                <w:b/>
                <w:bCs/>
                <w:sz w:val="28"/>
                <w:szCs w:val="28"/>
              </w:rPr>
              <w:t>.</w:t>
            </w:r>
            <w:r w:rsidRPr="00254C04">
              <w:rPr>
                <w:sz w:val="28"/>
                <w:szCs w:val="28"/>
              </w:rPr>
              <w:t xml:space="preserve"> a) A schematic sketch-view of the Raman set-up; b) dependence of the optical phonon peak of silicon on temperature (extracted from</w:t>
            </w:r>
            <w:r w:rsidRPr="00254C04">
              <w:rPr>
                <w:sz w:val="28"/>
                <w:szCs w:val="28"/>
              </w:rPr>
              <w:fldChar w:fldCharType="begin" w:fldLock="1"/>
            </w:r>
            <w:r w:rsidRPr="00254C04">
              <w:rPr>
                <w:sz w:val="28"/>
                <w:szCs w:val="28"/>
              </w:rPr>
              <w:instrText>ADDIN CSL_CITATION {"citationItems":[{"id":"ITEM-1","itemData":{"DOI":"10.1063/1.4873539","ISSN":"0003-6951","author":[{"dropping-particle":"","family":"Stoib","given":"B.","non-dropping-particle":"","parse-names":false,"suffix":""},{"dropping-particle":"","family":"Filser","given":"S.","non-dropping-particle":"","parse-names":false,"suffix":""},{"dropping-particle":"","family":"Petermann","given":"N.","non-dropping-particle":"","parse-names":false,"suffix":""},{"dropping-particle":"","family":"Wiggers","given":"H.","non-dropping-particle":"","parse-names":false,"suffix":""},{"dropping-particle":"","family":"Stutzmann","given":"M.","non-dropping-particle":"","parse-names":false,"suffix":""},{"dropping-particle":"","family":"Brandt","given":"M. S.","non-dropping-particle":"","parse-names":false,"suffix":""}],"container-title":"Applied Physics Letters","id":"ITEM-1","issue":"16","issued":{"date-parts":[["2014","4","21"]]},"page":"161907(1-4)","title":"Thermal conductivity of mesoporous films measured by Raman spectroscopy","type":"article-journal","volume":"104"},"uris":["http://www.mendeley.com/documents/?uuid=d59e1cc6-ebd8-4353-939f-28a60a4bc1a4"]}],"mendeley":{"formattedCitation":"&lt;sup&gt;46&lt;/sup&gt;","plainTextFormattedCitation":"46","previouslyFormattedCitation":"&lt;sup&gt;44&lt;/sup&gt;"},"properties":{"noteIndex":0},"schema":"https://github.com/citation-style-language/schema/raw/master/csl-citation.json"}</w:instrText>
            </w:r>
            <w:r w:rsidRPr="00254C04">
              <w:rPr>
                <w:sz w:val="28"/>
                <w:szCs w:val="28"/>
              </w:rPr>
              <w:fldChar w:fldCharType="separate"/>
            </w:r>
            <w:r w:rsidRPr="00254C04">
              <w:rPr>
                <w:noProof/>
                <w:sz w:val="28"/>
                <w:szCs w:val="28"/>
                <w:vertAlign w:val="superscript"/>
              </w:rPr>
              <w:t>46</w:t>
            </w:r>
            <w:r w:rsidRPr="00254C04">
              <w:rPr>
                <w:sz w:val="28"/>
                <w:szCs w:val="28"/>
              </w:rPr>
              <w:fldChar w:fldCharType="end"/>
            </w:r>
            <w:r w:rsidRPr="00254C04">
              <w:rPr>
                <w:sz w:val="28"/>
                <w:szCs w:val="28"/>
              </w:rPr>
              <w:t>); c) Stokes/Anti-stokes peaks for silicon</w:t>
            </w:r>
          </w:p>
        </w:tc>
      </w:tr>
    </w:tbl>
    <w:p w14:paraId="110C204E" w14:textId="59805C5D" w:rsidR="00254C04" w:rsidRPr="00254C04" w:rsidRDefault="00254C04" w:rsidP="00254C04">
      <w:pPr>
        <w:spacing w:before="120"/>
        <w:jc w:val="both"/>
        <w:rPr>
          <w:sz w:val="28"/>
          <w:szCs w:val="28"/>
        </w:rPr>
      </w:pPr>
      <w:r w:rsidRPr="00254C04">
        <w:rPr>
          <w:sz w:val="28"/>
          <w:szCs w:val="28"/>
        </w:rPr>
        <w:t xml:space="preserve">Raman scattering is the inelastic scattering of a light by a matter. It takes place when phonons transfer (for Stokes process) a portion of energy to the molecular vibrations. Specifically, the peaks in the Raman spectra correspond to the high frequency phonons for solids. Therefore, the positions of the peaks are sensitive to the strains in the material. Because of thermoelastic property, it can be used for the temperature measurements in the light beam focusing area. As an example, the dependence of the silicon peak of the optical phonons position on the temperature is presented in </w:t>
      </w:r>
      <w:r w:rsidRPr="00254C04">
        <w:rPr>
          <w:b/>
          <w:bCs/>
          <w:sz w:val="28"/>
          <w:szCs w:val="28"/>
        </w:rPr>
        <w:t xml:space="preserve">Fig. </w:t>
      </w:r>
      <w:r w:rsidRPr="00254C04">
        <w:rPr>
          <w:b/>
          <w:bCs/>
          <w:sz w:val="28"/>
          <w:szCs w:val="28"/>
        </w:rPr>
        <w:t>3</w:t>
      </w:r>
      <w:r w:rsidRPr="00254C04">
        <w:rPr>
          <w:b/>
          <w:bCs/>
          <w:sz w:val="28"/>
          <w:szCs w:val="28"/>
        </w:rPr>
        <w:t xml:space="preserve"> b</w:t>
      </w:r>
      <w:r w:rsidRPr="00254C04">
        <w:rPr>
          <w:sz w:val="28"/>
          <w:szCs w:val="28"/>
        </w:rPr>
        <w:t>.</w:t>
      </w:r>
    </w:p>
    <w:p w14:paraId="19401AF8" w14:textId="77777777" w:rsidR="00254C04" w:rsidRPr="00254C04" w:rsidRDefault="00254C04" w:rsidP="00254C04">
      <w:pPr>
        <w:spacing w:before="120"/>
        <w:jc w:val="both"/>
        <w:rPr>
          <w:sz w:val="28"/>
          <w:szCs w:val="28"/>
        </w:rPr>
      </w:pPr>
      <w:r w:rsidRPr="00254C04">
        <w:rPr>
          <w:sz w:val="28"/>
          <w:szCs w:val="28"/>
        </w:rPr>
        <w:t xml:space="preserve">Another possibility of the temperature sensing is based on the measurements of the Stokes/Anti-stokes </w:t>
      </w:r>
      <w:proofErr w:type="spellStart"/>
      <w:r w:rsidRPr="00254C04">
        <w:rPr>
          <w:sz w:val="28"/>
          <w:szCs w:val="28"/>
        </w:rPr>
        <w:t>ratiothat</w:t>
      </w:r>
      <w:proofErr w:type="spellEnd"/>
      <w:r w:rsidRPr="00254C04">
        <w:rPr>
          <w:sz w:val="28"/>
          <w:szCs w:val="28"/>
        </w:rPr>
        <w:t xml:space="preserve"> is also sensitive to the temperature (see Fig. 8 c):</w:t>
      </w:r>
    </w:p>
    <w:p w14:paraId="4B574C46" w14:textId="77777777" w:rsidR="00254C04" w:rsidRPr="00254C04" w:rsidRDefault="00254C04" w:rsidP="00254C04">
      <w:pPr>
        <w:spacing w:before="120"/>
        <w:jc w:val="center"/>
        <w:rPr>
          <w:iCs/>
          <w:sz w:val="28"/>
          <w:szCs w:val="28"/>
          <w:lang w:val="en-US"/>
        </w:rPr>
      </w:pPr>
      <m:oMathPara>
        <m:oMath>
          <m:f>
            <m:fPr>
              <m:ctrlPr>
                <w:rPr>
                  <w:rFonts w:ascii="Cambria Math" w:hAnsi="Cambria Math"/>
                  <w:i/>
                  <w:iCs/>
                  <w:sz w:val="28"/>
                  <w:szCs w:val="28"/>
                  <w:lang w:val="en-US"/>
                </w:rPr>
              </m:ctrlPr>
            </m:fPr>
            <m:num>
              <m:sSub>
                <m:sSubPr>
                  <m:ctrlPr>
                    <w:rPr>
                      <w:rFonts w:ascii="Cambria Math" w:hAnsi="Cambria Math"/>
                      <w:i/>
                      <w:iCs/>
                      <w:sz w:val="28"/>
                      <w:szCs w:val="28"/>
                      <w:lang w:val="en-US"/>
                    </w:rPr>
                  </m:ctrlPr>
                </m:sSubPr>
                <m:e>
                  <m:r>
                    <w:rPr>
                      <w:rFonts w:ascii="Cambria Math" w:hAnsi="Cambria Math"/>
                      <w:sz w:val="28"/>
                      <w:szCs w:val="28"/>
                      <w:lang w:val="en-US"/>
                    </w:rPr>
                    <m:t>I</m:t>
                  </m:r>
                </m:e>
                <m:sub>
                  <m:r>
                    <w:rPr>
                      <w:rFonts w:ascii="Cambria Math" w:hAnsi="Cambria Math"/>
                      <w:sz w:val="28"/>
                      <w:szCs w:val="28"/>
                      <w:lang w:val="en-US"/>
                    </w:rPr>
                    <m:t>AS</m:t>
                  </m:r>
                </m:sub>
              </m:sSub>
            </m:num>
            <m:den>
              <m:sSub>
                <m:sSubPr>
                  <m:ctrlPr>
                    <w:rPr>
                      <w:rFonts w:ascii="Cambria Math" w:hAnsi="Cambria Math"/>
                      <w:i/>
                      <w:iCs/>
                      <w:sz w:val="28"/>
                      <w:szCs w:val="28"/>
                      <w:lang w:val="en-US"/>
                    </w:rPr>
                  </m:ctrlPr>
                </m:sSubPr>
                <m:e>
                  <m:r>
                    <w:rPr>
                      <w:rFonts w:ascii="Cambria Math" w:hAnsi="Cambria Math"/>
                      <w:sz w:val="28"/>
                      <w:szCs w:val="28"/>
                      <w:lang w:val="en-US"/>
                    </w:rPr>
                    <m:t>I</m:t>
                  </m:r>
                </m:e>
                <m:sub>
                  <m:r>
                    <w:rPr>
                      <w:rFonts w:ascii="Cambria Math" w:hAnsi="Cambria Math"/>
                      <w:sz w:val="28"/>
                      <w:szCs w:val="28"/>
                      <w:lang w:val="en-US"/>
                    </w:rPr>
                    <m:t>S</m:t>
                  </m:r>
                </m:sub>
              </m:sSub>
            </m:den>
          </m:f>
          <m:r>
            <w:rPr>
              <w:rFonts w:ascii="Cambria Math" w:hAnsi="Cambria Math"/>
              <w:sz w:val="28"/>
              <w:szCs w:val="28"/>
              <w:lang w:val="en-US"/>
            </w:rPr>
            <m:t>=C</m:t>
          </m:r>
          <m:sSup>
            <m:sSupPr>
              <m:ctrlPr>
                <w:rPr>
                  <w:rFonts w:ascii="Cambria Math" w:hAnsi="Cambria Math"/>
                  <w:i/>
                  <w:iCs/>
                  <w:sz w:val="28"/>
                  <w:szCs w:val="28"/>
                  <w:lang w:val="en-US"/>
                </w:rPr>
              </m:ctrlPr>
            </m:sSupPr>
            <m:e>
              <m:d>
                <m:dPr>
                  <m:ctrlPr>
                    <w:rPr>
                      <w:rFonts w:ascii="Cambria Math" w:hAnsi="Cambria Math"/>
                      <w:i/>
                      <w:iCs/>
                      <w:sz w:val="28"/>
                      <w:szCs w:val="28"/>
                      <w:lang w:val="en-US"/>
                    </w:rPr>
                  </m:ctrlPr>
                </m:dPr>
                <m:e>
                  <m:f>
                    <m:fPr>
                      <m:ctrlPr>
                        <w:rPr>
                          <w:rFonts w:ascii="Cambria Math" w:hAnsi="Cambria Math"/>
                          <w:i/>
                          <w:iCs/>
                          <w:sz w:val="28"/>
                          <w:szCs w:val="28"/>
                          <w:lang w:val="en-US"/>
                        </w:rPr>
                      </m:ctrlPr>
                    </m:fPr>
                    <m:num>
                      <m:sSub>
                        <m:sSubPr>
                          <m:ctrlPr>
                            <w:rPr>
                              <w:rFonts w:ascii="Cambria Math" w:hAnsi="Cambria Math"/>
                              <w:i/>
                              <w:iCs/>
                              <w:sz w:val="28"/>
                              <w:szCs w:val="28"/>
                              <w:lang w:val="en-US"/>
                            </w:rPr>
                          </m:ctrlPr>
                        </m:sSubPr>
                        <m:e>
                          <m:r>
                            <w:rPr>
                              <w:rFonts w:ascii="Cambria Math" w:hAnsi="Cambria Math"/>
                              <w:sz w:val="28"/>
                              <w:szCs w:val="28"/>
                              <w:lang w:val="en-US"/>
                            </w:rPr>
                            <m:t>λ</m:t>
                          </m:r>
                        </m:e>
                        <m:sub>
                          <m:r>
                            <w:rPr>
                              <w:rFonts w:ascii="Cambria Math" w:hAnsi="Cambria Math"/>
                              <w:sz w:val="28"/>
                              <w:szCs w:val="28"/>
                              <w:lang w:val="en-US"/>
                            </w:rPr>
                            <m:t>S</m:t>
                          </m:r>
                        </m:sub>
                      </m:sSub>
                    </m:num>
                    <m:den>
                      <m:sSub>
                        <m:sSubPr>
                          <m:ctrlPr>
                            <w:rPr>
                              <w:rFonts w:ascii="Cambria Math" w:hAnsi="Cambria Math"/>
                              <w:i/>
                              <w:iCs/>
                              <w:sz w:val="28"/>
                              <w:szCs w:val="28"/>
                              <w:lang w:val="en-US"/>
                            </w:rPr>
                          </m:ctrlPr>
                        </m:sSubPr>
                        <m:e>
                          <m:r>
                            <w:rPr>
                              <w:rFonts w:ascii="Cambria Math" w:hAnsi="Cambria Math"/>
                              <w:sz w:val="28"/>
                              <w:szCs w:val="28"/>
                              <w:lang w:val="en-US"/>
                            </w:rPr>
                            <m:t>λ</m:t>
                          </m:r>
                        </m:e>
                        <m:sub>
                          <m:r>
                            <w:rPr>
                              <w:rFonts w:ascii="Cambria Math" w:hAnsi="Cambria Math"/>
                              <w:sz w:val="28"/>
                              <w:szCs w:val="28"/>
                              <w:lang w:val="en-US"/>
                            </w:rPr>
                            <m:t>AS</m:t>
                          </m:r>
                        </m:sub>
                      </m:sSub>
                    </m:den>
                  </m:f>
                </m:e>
              </m:d>
            </m:e>
            <m:sup>
              <m:r>
                <w:rPr>
                  <w:rFonts w:ascii="Cambria Math" w:hAnsi="Cambria Math"/>
                  <w:sz w:val="28"/>
                  <w:szCs w:val="28"/>
                  <w:lang w:val="en-US"/>
                </w:rPr>
                <m:t>4</m:t>
              </m:r>
            </m:sup>
          </m:sSup>
          <m:r>
            <w:rPr>
              <w:rFonts w:ascii="Cambria Math" w:hAnsi="Cambria Math"/>
              <w:sz w:val="28"/>
              <w:szCs w:val="28"/>
              <w:lang w:val="en-US"/>
            </w:rPr>
            <m:t>exp</m:t>
          </m:r>
          <m:d>
            <m:dPr>
              <m:ctrlPr>
                <w:rPr>
                  <w:rFonts w:ascii="Cambria Math" w:hAnsi="Cambria Math"/>
                  <w:i/>
                  <w:iCs/>
                  <w:sz w:val="28"/>
                  <w:szCs w:val="28"/>
                  <w:lang w:val="en-US"/>
                </w:rPr>
              </m:ctrlPr>
            </m:dPr>
            <m:e>
              <m:f>
                <m:fPr>
                  <m:ctrlPr>
                    <w:rPr>
                      <w:rFonts w:ascii="Cambria Math" w:hAnsi="Cambria Math"/>
                      <w:i/>
                      <w:iCs/>
                      <w:sz w:val="28"/>
                      <w:szCs w:val="28"/>
                      <w:lang w:val="en-US"/>
                    </w:rPr>
                  </m:ctrlPr>
                </m:fPr>
                <m:num>
                  <m:r>
                    <w:rPr>
                      <w:rFonts w:ascii="Cambria Math" w:hAnsi="Cambria Math"/>
                      <w:sz w:val="28"/>
                      <w:szCs w:val="28"/>
                      <w:lang w:val="en-US"/>
                    </w:rPr>
                    <m:t>ℏω</m:t>
                  </m:r>
                </m:num>
                <m:den>
                  <m:r>
                    <w:rPr>
                      <w:rFonts w:ascii="Cambria Math" w:hAnsi="Cambria Math"/>
                      <w:sz w:val="28"/>
                      <w:szCs w:val="28"/>
                      <w:lang w:val="en-US"/>
                    </w:rPr>
                    <m:t>kT</m:t>
                  </m:r>
                </m:den>
              </m:f>
            </m:e>
          </m:d>
          <m:r>
            <w:rPr>
              <w:rFonts w:ascii="Cambria Math" w:hAnsi="Cambria Math"/>
              <w:sz w:val="28"/>
              <w:szCs w:val="28"/>
              <w:lang w:val="en-US"/>
            </w:rPr>
            <m:t>,</m:t>
          </m:r>
        </m:oMath>
      </m:oMathPara>
    </w:p>
    <w:p w14:paraId="6F15EB66" w14:textId="77777777" w:rsidR="00254C04" w:rsidRPr="00254C04" w:rsidRDefault="00254C04" w:rsidP="00254C04">
      <w:pPr>
        <w:spacing w:before="120"/>
        <w:jc w:val="both"/>
        <w:rPr>
          <w:sz w:val="28"/>
          <w:szCs w:val="28"/>
        </w:rPr>
      </w:pPr>
      <w:r w:rsidRPr="00254C04">
        <w:rPr>
          <w:sz w:val="28"/>
          <w:szCs w:val="28"/>
        </w:rPr>
        <w:t xml:space="preserve">where </w:t>
      </w:r>
      <m:oMath>
        <m:sSub>
          <m:sSubPr>
            <m:ctrlPr>
              <w:rPr>
                <w:rFonts w:ascii="Cambria Math" w:hAnsi="Cambria Math"/>
                <w:i/>
                <w:iCs/>
                <w:sz w:val="28"/>
                <w:szCs w:val="28"/>
                <w:lang w:val="en-US"/>
              </w:rPr>
            </m:ctrlPr>
          </m:sSubPr>
          <m:e>
            <m:r>
              <w:rPr>
                <w:rFonts w:ascii="Cambria Math" w:hAnsi="Cambria Math"/>
                <w:sz w:val="28"/>
                <w:szCs w:val="28"/>
                <w:lang w:val="en-US"/>
              </w:rPr>
              <m:t>I</m:t>
            </m:r>
          </m:e>
          <m:sub>
            <m:r>
              <w:rPr>
                <w:rFonts w:ascii="Cambria Math" w:hAnsi="Cambria Math"/>
                <w:sz w:val="28"/>
                <w:szCs w:val="28"/>
                <w:lang w:val="en-US"/>
              </w:rPr>
              <m:t>S</m:t>
            </m:r>
          </m:sub>
        </m:sSub>
      </m:oMath>
      <w:r w:rsidRPr="00254C04">
        <w:rPr>
          <w:iCs/>
          <w:sz w:val="28"/>
          <w:szCs w:val="28"/>
          <w:lang w:val="en-US"/>
        </w:rPr>
        <w:t xml:space="preserve"> and </w:t>
      </w:r>
      <m:oMath>
        <m:sSub>
          <m:sSubPr>
            <m:ctrlPr>
              <w:rPr>
                <w:rFonts w:ascii="Cambria Math" w:hAnsi="Cambria Math"/>
                <w:i/>
                <w:iCs/>
                <w:sz w:val="28"/>
                <w:szCs w:val="28"/>
                <w:lang w:val="en-US"/>
              </w:rPr>
            </m:ctrlPr>
          </m:sSubPr>
          <m:e>
            <m:r>
              <w:rPr>
                <w:rFonts w:ascii="Cambria Math" w:hAnsi="Cambria Math"/>
                <w:sz w:val="28"/>
                <w:szCs w:val="28"/>
                <w:lang w:val="en-US"/>
              </w:rPr>
              <m:t>I</m:t>
            </m:r>
          </m:e>
          <m:sub>
            <m:r>
              <w:rPr>
                <w:rFonts w:ascii="Cambria Math" w:hAnsi="Cambria Math"/>
                <w:sz w:val="28"/>
                <w:szCs w:val="28"/>
                <w:lang w:val="en-US"/>
              </w:rPr>
              <m:t>AS</m:t>
            </m:r>
          </m:sub>
        </m:sSub>
      </m:oMath>
      <w:r w:rsidRPr="00254C04">
        <w:rPr>
          <w:iCs/>
          <w:sz w:val="28"/>
          <w:szCs w:val="28"/>
          <w:lang w:val="en-US"/>
        </w:rPr>
        <w:t xml:space="preserve"> are the intensities of the Strokes and Anti-stokes peaks, </w:t>
      </w:r>
      <m:oMath>
        <m:r>
          <w:rPr>
            <w:rFonts w:ascii="Cambria Math" w:hAnsi="Cambria Math"/>
            <w:sz w:val="28"/>
            <w:szCs w:val="28"/>
            <w:lang w:val="en-US"/>
          </w:rPr>
          <m:t>C</m:t>
        </m:r>
      </m:oMath>
      <w:r w:rsidRPr="00254C04">
        <w:rPr>
          <w:iCs/>
          <w:sz w:val="28"/>
          <w:szCs w:val="28"/>
          <w:lang w:val="en-US"/>
        </w:rPr>
        <w:t xml:space="preserve"> is the constant that depends on the set-up configuration, </w:t>
      </w:r>
      <m:oMath>
        <m:sSub>
          <m:sSubPr>
            <m:ctrlPr>
              <w:rPr>
                <w:rFonts w:ascii="Cambria Math" w:hAnsi="Cambria Math"/>
                <w:i/>
                <w:iCs/>
                <w:sz w:val="28"/>
                <w:szCs w:val="28"/>
                <w:lang w:val="en-US"/>
              </w:rPr>
            </m:ctrlPr>
          </m:sSubPr>
          <m:e>
            <m:r>
              <w:rPr>
                <w:rFonts w:ascii="Cambria Math" w:hAnsi="Cambria Math"/>
                <w:sz w:val="28"/>
                <w:szCs w:val="28"/>
                <w:lang w:val="en-US"/>
              </w:rPr>
              <m:t>λ</m:t>
            </m:r>
          </m:e>
          <m:sub>
            <m:r>
              <w:rPr>
                <w:rFonts w:ascii="Cambria Math" w:hAnsi="Cambria Math"/>
                <w:sz w:val="28"/>
                <w:szCs w:val="28"/>
                <w:lang w:val="en-US"/>
              </w:rPr>
              <m:t>S</m:t>
            </m:r>
          </m:sub>
        </m:sSub>
      </m:oMath>
      <w:r w:rsidRPr="00254C04">
        <w:rPr>
          <w:iCs/>
          <w:sz w:val="28"/>
          <w:szCs w:val="28"/>
          <w:lang w:val="en-US"/>
        </w:rPr>
        <w:t xml:space="preserve"> and </w:t>
      </w:r>
      <m:oMath>
        <m:sSub>
          <m:sSubPr>
            <m:ctrlPr>
              <w:rPr>
                <w:rFonts w:ascii="Cambria Math" w:hAnsi="Cambria Math"/>
                <w:i/>
                <w:iCs/>
                <w:sz w:val="28"/>
                <w:szCs w:val="28"/>
                <w:lang w:val="en-US"/>
              </w:rPr>
            </m:ctrlPr>
          </m:sSubPr>
          <m:e>
            <m:r>
              <w:rPr>
                <w:rFonts w:ascii="Cambria Math" w:hAnsi="Cambria Math"/>
                <w:sz w:val="28"/>
                <w:szCs w:val="28"/>
                <w:lang w:val="en-US"/>
              </w:rPr>
              <m:t>λ</m:t>
            </m:r>
          </m:e>
          <m:sub>
            <m:r>
              <w:rPr>
                <w:rFonts w:ascii="Cambria Math" w:hAnsi="Cambria Math"/>
                <w:sz w:val="28"/>
                <w:szCs w:val="28"/>
                <w:lang w:val="en-US"/>
              </w:rPr>
              <m:t>AS</m:t>
            </m:r>
          </m:sub>
        </m:sSub>
      </m:oMath>
      <w:r w:rsidRPr="00254C04">
        <w:rPr>
          <w:iCs/>
          <w:sz w:val="28"/>
          <w:szCs w:val="28"/>
          <w:lang w:val="en-US"/>
        </w:rPr>
        <w:t xml:space="preserve"> are the wavelengths of the scattered light due to the Stokes and Anti-stokes processes, </w:t>
      </w:r>
      <m:oMath>
        <m:r>
          <w:rPr>
            <w:rFonts w:ascii="Cambria Math" w:hAnsi="Cambria Math"/>
            <w:sz w:val="28"/>
            <w:szCs w:val="28"/>
            <w:lang w:val="en-US"/>
          </w:rPr>
          <m:t>ω</m:t>
        </m:r>
      </m:oMath>
      <w:r w:rsidRPr="00254C04">
        <w:rPr>
          <w:iCs/>
          <w:sz w:val="28"/>
          <w:szCs w:val="28"/>
          <w:lang w:val="en-US"/>
        </w:rPr>
        <w:t xml:space="preserve"> is the frequency corresponded to the Raman peak</w:t>
      </w:r>
      <w:proofErr w:type="gramStart"/>
      <w:r w:rsidRPr="00254C04">
        <w:rPr>
          <w:iCs/>
          <w:sz w:val="28"/>
          <w:szCs w:val="28"/>
          <w:lang w:val="en-US"/>
        </w:rPr>
        <w:t xml:space="preserve">.  </w:t>
      </w:r>
      <w:proofErr w:type="gramEnd"/>
    </w:p>
    <w:p w14:paraId="36F49D51" w14:textId="77777777" w:rsidR="00254C04" w:rsidRPr="00254C04" w:rsidRDefault="00254C04" w:rsidP="00254C04">
      <w:pPr>
        <w:spacing w:before="120"/>
        <w:jc w:val="both"/>
        <w:rPr>
          <w:sz w:val="28"/>
          <w:szCs w:val="28"/>
        </w:rPr>
      </w:pPr>
      <w:r w:rsidRPr="00254C04">
        <w:rPr>
          <w:sz w:val="28"/>
          <w:szCs w:val="28"/>
        </w:rPr>
        <w:t xml:space="preserve">Thus, Raman spectroscopy allows us to investigate the temperature response of thin systems (with characteristic sizes ~1 </w:t>
      </w:r>
      <w:r w:rsidRPr="00254C04">
        <w:rPr>
          <w:bCs/>
          <w:iCs/>
          <w:sz w:val="28"/>
          <w:szCs w:val="28"/>
        </w:rPr>
        <w:t>µm)</w:t>
      </w:r>
      <w:r w:rsidRPr="00254C04">
        <w:rPr>
          <w:sz w:val="28"/>
          <w:szCs w:val="28"/>
        </w:rPr>
        <w:t>, and simultaneously the laser light can be used as a heating source. This allows us to study the temperature rise in the sample as a function of the source power, and one can evaluate thermal conductivity of the samples based on the thermal problem resolution. Specifically, PI of the project proposed the method of thermal transport anisotropy study based on the laser beam shape modifications</w:t>
      </w:r>
      <w:r w:rsidRPr="00254C04">
        <w:rPr>
          <w:sz w:val="28"/>
          <w:szCs w:val="28"/>
        </w:rPr>
        <w:fldChar w:fldCharType="begin" w:fldLock="1"/>
      </w:r>
      <w:r w:rsidRPr="00254C04">
        <w:rPr>
          <w:sz w:val="28"/>
          <w:szCs w:val="28"/>
        </w:rPr>
        <w:instrText>ADDIN CSL_CITATION {"citationItems":[{"id":"ITEM-1","itemData":{"abstract":"Anisotropic nanomaterials possess interesting thermal transport properties because they allow orientation of heat fluxes along preferential directions due to a high ratio (up to three orders of magnitude) between their in-plane and cross-plane thermal conductivities. Among different techniques allowing thermal conductivity evaluation, micro-Raman scattering is known to be one of the most efficient contactless measurement approaches. In this letter, a new experimental approach based on Raman scattering measurements with variable laser spot sizes is reported. Correlation between experimental and calculated thermal resistances of one-dimensional nanocrystalline solids allows simultaneous estimation of their in-plane and cross-plane thermal conductivities. In particular, our measurement approach is illustrated to be successfully applied for anisotropic thermal conductivity evaluation of silicon nanowire arrays.","author":[{"dropping-particle":"","family":"Isaiev","given":"Mykola","non-dropping-particle":"","parse-names":false,"suffix":""},{"dropping-particle":"","family":"Didukh","given":"Oles","non-dropping-particle":"","parse-names":false,"suffix":""},{"dropping-particle":"","family":"Nychyporuk","given":"Tetyana","non-dropping-particle":"","parse-names":false,"suffix":""},{"dropping-particle":"","family":"Timoshenko","given":"Victor","non-dropping-particle":"","parse-names":false,"suffix":""},{"dropping-particle":"","family":"Lysenko","given":"Vladimir","non-dropping-particle":"","parse-names":false,"suffix":""}],"genre":"Materials Science","id":"ITEM-1","issued":{"date-parts":[["2016","9","26"]]},"title":"Anisotropic heat conduction in silicon nanowire network revealed by Raman scattering","type":"article-journal"},"uris":["http://www.mendeley.com/documents/?uuid=74e761d2-8f31-4745-ac00-9fb3c6e88d5d"]},{"id":"ITEM-2","itemData":{"DOI":"10.1109/NAP.2018.8915014","ISBN":"978-1-5386-5333-3","author":[{"dropping-particle":"","family":"Isaiev","given":"M","non-dropping-particle":"","parse-names":false,"suffix":""},{"dropping-particle":"","family":"Didukh","given":"O","non-dropping-particle":"","parse-names":false,"suffix":""},{"dropping-particle":"","family":"Lysenko","given":"V.","non-dropping-particle":"","parse-names":false,"suffix":""},{"dropping-particle":"","family":"Belarouci","given":"Ali","non-dropping-particle":"","parse-names":false,"suffix":""}],"container-title":"2018 IEEE 8th International Conference Nanomaterials: Application &amp; Properties (NAP)","id":"ITEM-2","issued":{"date-parts":[["2018","9"]]},"page":"01SPN27(1-4)","publisher":"IEEE","title":"Study of Thermal Transport Anisotropy in Porous Silicon Systems by Raman Technique","type":"paper-conference","volume":"2"},"uris":["http://www.mendeley.com/documents/?uuid=a3012921-0a1a-4d33-81da-1e5a7be47169"]}],"mendeley":{"formattedCitation":"&lt;sup&gt;47,48&lt;/sup&gt;","plainTextFormattedCitation":"47,48","previouslyFormattedCitation":"&lt;sup&gt;45,46&lt;/sup&gt;"},"properties":{"noteIndex":0},"schema":"https://github.com/citation-style-language/schema/raw/master/csl-citation.json"}</w:instrText>
      </w:r>
      <w:r w:rsidRPr="00254C04">
        <w:rPr>
          <w:sz w:val="28"/>
          <w:szCs w:val="28"/>
        </w:rPr>
        <w:fldChar w:fldCharType="separate"/>
      </w:r>
      <w:r w:rsidRPr="00254C04">
        <w:rPr>
          <w:noProof/>
          <w:sz w:val="28"/>
          <w:szCs w:val="28"/>
          <w:vertAlign w:val="superscript"/>
        </w:rPr>
        <w:t>47,48</w:t>
      </w:r>
      <w:r w:rsidRPr="00254C04">
        <w:rPr>
          <w:sz w:val="28"/>
          <w:szCs w:val="28"/>
        </w:rPr>
        <w:fldChar w:fldCharType="end"/>
      </w:r>
      <w:r w:rsidRPr="00254C04">
        <w:rPr>
          <w:sz w:val="28"/>
          <w:szCs w:val="28"/>
        </w:rPr>
        <w:t xml:space="preserve">. </w:t>
      </w:r>
    </w:p>
    <w:p w14:paraId="6144109A" w14:textId="77777777" w:rsidR="00254C04" w:rsidRPr="00254C04" w:rsidRDefault="00254C04" w:rsidP="00254C04">
      <w:pPr>
        <w:spacing w:before="120"/>
        <w:jc w:val="both"/>
        <w:rPr>
          <w:sz w:val="28"/>
          <w:szCs w:val="28"/>
        </w:rPr>
      </w:pPr>
    </w:p>
    <w:p w14:paraId="0B3DDE88" w14:textId="33E6D51B" w:rsidR="00254C04" w:rsidRPr="00254C04" w:rsidRDefault="00254C04" w:rsidP="00254C04">
      <w:pPr>
        <w:spacing w:before="120"/>
        <w:jc w:val="both"/>
        <w:rPr>
          <w:i/>
          <w:iCs/>
          <w:sz w:val="28"/>
          <w:szCs w:val="28"/>
        </w:rPr>
      </w:pPr>
      <w:r w:rsidRPr="00254C04">
        <w:rPr>
          <w:i/>
          <w:iCs/>
          <w:sz w:val="28"/>
          <w:szCs w:val="28"/>
        </w:rPr>
        <w:t xml:space="preserve">Tool </w:t>
      </w:r>
      <w:r w:rsidRPr="00254C04">
        <w:rPr>
          <w:i/>
          <w:iCs/>
          <w:sz w:val="28"/>
          <w:szCs w:val="28"/>
        </w:rPr>
        <w:t>3</w:t>
      </w:r>
      <w:r w:rsidRPr="00254C04">
        <w:rPr>
          <w:i/>
          <w:iCs/>
          <w:sz w:val="28"/>
          <w:szCs w:val="28"/>
        </w:rPr>
        <w:t xml:space="preserve"> - Scanning thermal microscopy</w:t>
      </w:r>
    </w:p>
    <w:p w14:paraId="5F8EC12D" w14:textId="781ED0CE" w:rsidR="00254C04" w:rsidRPr="00254C04" w:rsidRDefault="00254C04" w:rsidP="00254C04">
      <w:pPr>
        <w:jc w:val="both"/>
        <w:rPr>
          <w:sz w:val="28"/>
          <w:szCs w:val="28"/>
        </w:rPr>
      </w:pPr>
      <w:r w:rsidRPr="00254C04">
        <w:rPr>
          <w:sz w:val="28"/>
          <w:szCs w:val="28"/>
        </w:rPr>
        <w:lastRenderedPageBreak/>
        <w:t>Principle: Scanning thermal microscopy (</w:t>
      </w:r>
      <w:proofErr w:type="spellStart"/>
      <w:r w:rsidRPr="00254C04">
        <w:rPr>
          <w:sz w:val="28"/>
          <w:szCs w:val="28"/>
        </w:rPr>
        <w:t>SThM</w:t>
      </w:r>
      <w:proofErr w:type="spellEnd"/>
      <w:r w:rsidRPr="00254C04">
        <w:rPr>
          <w:sz w:val="28"/>
          <w:szCs w:val="28"/>
        </w:rPr>
        <w:t xml:space="preserve">) is based on the Atomic Force Microscope (AFM) where a nanoscale tip interacts directly with a surface. Regular AFM experiments can give us the insightful information on the topography of the interfaces such as roughness or its periodicity or structuration at a nanoscale level. We will go further by using the </w:t>
      </w:r>
      <w:proofErr w:type="spellStart"/>
      <w:r w:rsidRPr="00254C04">
        <w:rPr>
          <w:sz w:val="28"/>
          <w:szCs w:val="28"/>
        </w:rPr>
        <w:t>SThM</w:t>
      </w:r>
      <w:proofErr w:type="spellEnd"/>
      <w:r w:rsidRPr="00254C04">
        <w:rPr>
          <w:sz w:val="28"/>
          <w:szCs w:val="28"/>
        </w:rPr>
        <w:t xml:space="preserve"> technique developed in the team. Briefly, in </w:t>
      </w:r>
      <w:proofErr w:type="spellStart"/>
      <w:r w:rsidRPr="00254C04">
        <w:rPr>
          <w:sz w:val="28"/>
          <w:szCs w:val="28"/>
        </w:rPr>
        <w:t>SThM</w:t>
      </w:r>
      <w:proofErr w:type="spellEnd"/>
      <w:r w:rsidRPr="00254C04">
        <w:rPr>
          <w:sz w:val="28"/>
          <w:szCs w:val="28"/>
        </w:rPr>
        <w:t xml:space="preserve"> we use a </w:t>
      </w:r>
      <w:proofErr w:type="spellStart"/>
      <w:r w:rsidRPr="00254C04">
        <w:rPr>
          <w:sz w:val="28"/>
          <w:szCs w:val="28"/>
        </w:rPr>
        <w:t>thermoresistive</w:t>
      </w:r>
      <w:proofErr w:type="spellEnd"/>
      <w:r w:rsidRPr="00254C04">
        <w:rPr>
          <w:sz w:val="28"/>
          <w:szCs w:val="28"/>
        </w:rPr>
        <w:t xml:space="preserve"> tip that heats up by Joule effect (when a small electrical current flow through the probe creating a nano-heat source as large as the tip (~100nm)). Raster scans along a surface of a sample give us the topographic information on the roughness or structuration of the interface and images of the heat transferred from the hot probe to the surface with a lateral resolution of ~100nm. The schematic representation of the basic principle of the </w:t>
      </w:r>
      <w:proofErr w:type="spellStart"/>
      <w:r w:rsidRPr="00254C04">
        <w:rPr>
          <w:sz w:val="28"/>
          <w:szCs w:val="28"/>
        </w:rPr>
        <w:t>SThM</w:t>
      </w:r>
      <w:proofErr w:type="spellEnd"/>
      <w:r w:rsidRPr="00254C04">
        <w:rPr>
          <w:sz w:val="28"/>
          <w:szCs w:val="28"/>
        </w:rPr>
        <w:t xml:space="preserve"> is shown in Fig. </w:t>
      </w:r>
      <w:r w:rsidRPr="00254C04">
        <w:rPr>
          <w:sz w:val="28"/>
          <w:szCs w:val="28"/>
        </w:rPr>
        <w:t>4</w:t>
      </w:r>
      <w:r w:rsidRPr="00254C04">
        <w:rPr>
          <w:sz w:val="28"/>
          <w:szCs w:val="28"/>
        </w:rPr>
        <w:t>.</w:t>
      </w:r>
    </w:p>
    <w:p w14:paraId="0295B6EA" w14:textId="77777777" w:rsidR="00254C04" w:rsidRPr="00254C04" w:rsidRDefault="00254C04" w:rsidP="00254C04">
      <w:pPr>
        <w:jc w:val="center"/>
        <w:rPr>
          <w:sz w:val="28"/>
          <w:szCs w:val="28"/>
        </w:rPr>
      </w:pPr>
      <w:r w:rsidRPr="00254C04">
        <w:rPr>
          <w:noProof/>
          <w:sz w:val="28"/>
          <w:szCs w:val="28"/>
          <w:lang w:val="uk-UA" w:eastAsia="uk-UA"/>
        </w:rPr>
        <w:drawing>
          <wp:inline distT="0" distB="0" distL="0" distR="0" wp14:anchorId="5AF9BF47" wp14:editId="3A2BE80D">
            <wp:extent cx="6021705" cy="1668808"/>
            <wp:effectExtent l="0" t="0" r="0" b="762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8"/>
                    <a:stretch>
                      <a:fillRect/>
                    </a:stretch>
                  </pic:blipFill>
                  <pic:spPr>
                    <a:xfrm>
                      <a:off x="0" y="0"/>
                      <a:ext cx="6026612" cy="1670168"/>
                    </a:xfrm>
                    <a:prstGeom prst="rect">
                      <a:avLst/>
                    </a:prstGeom>
                  </pic:spPr>
                </pic:pic>
              </a:graphicData>
            </a:graphic>
          </wp:inline>
        </w:drawing>
      </w:r>
    </w:p>
    <w:p w14:paraId="4496E123" w14:textId="4209D226" w:rsidR="00254C04" w:rsidRPr="00254C04" w:rsidRDefault="00254C04" w:rsidP="00254C04">
      <w:pPr>
        <w:jc w:val="center"/>
        <w:rPr>
          <w:sz w:val="28"/>
          <w:szCs w:val="28"/>
        </w:rPr>
      </w:pPr>
      <w:r w:rsidRPr="00254C04">
        <w:rPr>
          <w:b/>
          <w:bCs/>
          <w:sz w:val="28"/>
          <w:szCs w:val="28"/>
        </w:rPr>
        <w:t xml:space="preserve">Fig. </w:t>
      </w:r>
      <w:r w:rsidRPr="00254C04">
        <w:rPr>
          <w:b/>
          <w:bCs/>
          <w:sz w:val="28"/>
          <w:szCs w:val="28"/>
        </w:rPr>
        <w:t>4</w:t>
      </w:r>
      <w:r w:rsidRPr="00254C04">
        <w:rPr>
          <w:b/>
          <w:bCs/>
          <w:sz w:val="28"/>
          <w:szCs w:val="28"/>
        </w:rPr>
        <w:t>.</w:t>
      </w:r>
      <w:r w:rsidRPr="00254C04">
        <w:rPr>
          <w:sz w:val="28"/>
          <w:szCs w:val="28"/>
        </w:rPr>
        <w:t xml:space="preserve"> Schematic sketch-view of the </w:t>
      </w:r>
      <w:proofErr w:type="spellStart"/>
      <w:r w:rsidRPr="00254C04">
        <w:rPr>
          <w:sz w:val="28"/>
          <w:szCs w:val="28"/>
        </w:rPr>
        <w:t>SThM</w:t>
      </w:r>
      <w:proofErr w:type="spellEnd"/>
      <w:r w:rsidRPr="00254C04">
        <w:rPr>
          <w:sz w:val="28"/>
          <w:szCs w:val="28"/>
        </w:rPr>
        <w:t xml:space="preserve"> measurements setup</w:t>
      </w:r>
    </w:p>
    <w:p w14:paraId="6B47C30C" w14:textId="77777777" w:rsidR="00254C04" w:rsidRPr="00254C04" w:rsidRDefault="00254C04" w:rsidP="00254C04">
      <w:pPr>
        <w:jc w:val="center"/>
        <w:rPr>
          <w:sz w:val="28"/>
          <w:szCs w:val="28"/>
        </w:rPr>
      </w:pPr>
    </w:p>
    <w:p w14:paraId="3B129134" w14:textId="77777777" w:rsidR="00254C04" w:rsidRPr="00254C04" w:rsidRDefault="00254C04" w:rsidP="00254C04">
      <w:pPr>
        <w:jc w:val="both"/>
        <w:rPr>
          <w:sz w:val="28"/>
          <w:szCs w:val="28"/>
        </w:rPr>
      </w:pPr>
      <w:r w:rsidRPr="00254C04">
        <w:rPr>
          <w:sz w:val="28"/>
          <w:szCs w:val="28"/>
        </w:rPr>
        <w:t xml:space="preserve">Major improvements have been done to the </w:t>
      </w:r>
      <w:proofErr w:type="spellStart"/>
      <w:r w:rsidRPr="00254C04">
        <w:rPr>
          <w:sz w:val="28"/>
          <w:szCs w:val="28"/>
        </w:rPr>
        <w:t>SThM</w:t>
      </w:r>
      <w:proofErr w:type="spellEnd"/>
      <w:r w:rsidRPr="00254C04">
        <w:rPr>
          <w:sz w:val="28"/>
          <w:szCs w:val="28"/>
        </w:rPr>
        <w:t xml:space="preserve"> developed in the team </w:t>
      </w:r>
      <w:proofErr w:type="gramStart"/>
      <w:r w:rsidRPr="00254C04">
        <w:rPr>
          <w:sz w:val="28"/>
          <w:szCs w:val="28"/>
        </w:rPr>
        <w:t>in order to</w:t>
      </w:r>
      <w:proofErr w:type="gramEnd"/>
      <w:r w:rsidRPr="00254C04">
        <w:rPr>
          <w:sz w:val="28"/>
          <w:szCs w:val="28"/>
        </w:rPr>
        <w:t xml:space="preserve"> carry out quantitative information from the measurements. First, the system has been integrated in a controlled environment chamber where the pressure can be lowered to high vacuum (~10</w:t>
      </w:r>
      <w:r w:rsidRPr="00254C04">
        <w:rPr>
          <w:sz w:val="28"/>
          <w:szCs w:val="28"/>
          <w:vertAlign w:val="superscript"/>
        </w:rPr>
        <w:t>-6</w:t>
      </w:r>
      <w:r w:rsidRPr="00254C04">
        <w:rPr>
          <w:sz w:val="28"/>
          <w:szCs w:val="28"/>
        </w:rPr>
        <w:t xml:space="preserve">mbar) </w:t>
      </w:r>
      <w:proofErr w:type="gramStart"/>
      <w:r w:rsidRPr="00254C04">
        <w:rPr>
          <w:sz w:val="28"/>
          <w:szCs w:val="28"/>
        </w:rPr>
        <w:t>in order to</w:t>
      </w:r>
      <w:proofErr w:type="gramEnd"/>
      <w:r w:rsidRPr="00254C04">
        <w:rPr>
          <w:sz w:val="28"/>
          <w:szCs w:val="28"/>
        </w:rPr>
        <w:t xml:space="preserve"> control humidity and/or to get rid of undesired convection losses.</w:t>
      </w:r>
    </w:p>
    <w:p w14:paraId="52595CD1" w14:textId="77777777" w:rsidR="00254C04" w:rsidRPr="00254C04" w:rsidRDefault="00254C04" w:rsidP="00254C04">
      <w:pPr>
        <w:jc w:val="both"/>
        <w:rPr>
          <w:sz w:val="28"/>
          <w:szCs w:val="28"/>
        </w:rPr>
      </w:pPr>
      <w:r w:rsidRPr="00254C04">
        <w:rPr>
          <w:sz w:val="28"/>
          <w:szCs w:val="28"/>
        </w:rPr>
        <w:t xml:space="preserve">Within the framework of this </w:t>
      </w:r>
      <w:proofErr w:type="gramStart"/>
      <w:r w:rsidRPr="00254C04">
        <w:rPr>
          <w:sz w:val="28"/>
          <w:szCs w:val="28"/>
        </w:rPr>
        <w:t>project</w:t>
      </w:r>
      <w:proofErr w:type="gramEnd"/>
      <w:r w:rsidRPr="00254C04">
        <w:rPr>
          <w:sz w:val="28"/>
          <w:szCs w:val="28"/>
        </w:rPr>
        <w:t xml:space="preserve"> we will use the introduced setup in an innovative manner by coupling the hot tip with a thin liquid layer in order to accurately study the energy transfer from the solid phase to the liquid as well as the interface effect. Moreover, such coupling has never been attempted before that makes our setup unique in this area. </w:t>
      </w:r>
    </w:p>
    <w:p w14:paraId="494AB177" w14:textId="77777777" w:rsidR="00254C04" w:rsidRPr="00254C04" w:rsidRDefault="00254C04" w:rsidP="00254C04">
      <w:pPr>
        <w:jc w:val="both"/>
        <w:rPr>
          <w:sz w:val="28"/>
          <w:szCs w:val="28"/>
        </w:rPr>
      </w:pPr>
    </w:p>
    <w:p w14:paraId="5186FF84" w14:textId="06EAD552" w:rsidR="00254C04" w:rsidRPr="00254C04" w:rsidRDefault="00254C04" w:rsidP="00254C04">
      <w:pPr>
        <w:spacing w:before="120"/>
        <w:jc w:val="both"/>
        <w:rPr>
          <w:i/>
          <w:iCs/>
          <w:sz w:val="28"/>
          <w:szCs w:val="28"/>
        </w:rPr>
      </w:pPr>
      <w:r w:rsidRPr="00254C04">
        <w:rPr>
          <w:i/>
          <w:iCs/>
          <w:sz w:val="28"/>
          <w:szCs w:val="28"/>
        </w:rPr>
        <w:t xml:space="preserve">Tool </w:t>
      </w:r>
      <w:r w:rsidRPr="00254C04">
        <w:rPr>
          <w:i/>
          <w:iCs/>
          <w:sz w:val="28"/>
          <w:szCs w:val="28"/>
        </w:rPr>
        <w:t>4</w:t>
      </w:r>
      <w:r w:rsidRPr="00254C04">
        <w:rPr>
          <w:i/>
          <w:iCs/>
          <w:sz w:val="28"/>
          <w:szCs w:val="28"/>
        </w:rPr>
        <w:t xml:space="preserve"> - Time Domain </w:t>
      </w:r>
      <w:proofErr w:type="spellStart"/>
      <w:r w:rsidRPr="00254C04">
        <w:rPr>
          <w:i/>
          <w:iCs/>
          <w:sz w:val="28"/>
          <w:szCs w:val="28"/>
        </w:rPr>
        <w:t>Thermoreflectance</w:t>
      </w:r>
      <w:proofErr w:type="spellEnd"/>
      <w:r w:rsidRPr="00254C04">
        <w:rPr>
          <w:i/>
          <w:iCs/>
          <w:sz w:val="28"/>
          <w:szCs w:val="28"/>
        </w:rPr>
        <w:t xml:space="preserve"> (TDTR)</w:t>
      </w:r>
    </w:p>
    <w:p w14:paraId="43054A43" w14:textId="77777777" w:rsidR="00254C04" w:rsidRPr="00254C04" w:rsidRDefault="00254C04" w:rsidP="00254C04">
      <w:pPr>
        <w:spacing w:before="120"/>
        <w:jc w:val="both"/>
        <w:rPr>
          <w:sz w:val="28"/>
          <w:szCs w:val="28"/>
        </w:rPr>
      </w:pPr>
      <w:r w:rsidRPr="00254C04">
        <w:rPr>
          <w:sz w:val="28"/>
          <w:szCs w:val="28"/>
        </w:rPr>
        <w:t xml:space="preserve">Principle: Time domain </w:t>
      </w:r>
      <w:proofErr w:type="spellStart"/>
      <w:r w:rsidRPr="00254C04">
        <w:rPr>
          <w:sz w:val="28"/>
          <w:szCs w:val="28"/>
        </w:rPr>
        <w:t>thermoreflectance</w:t>
      </w:r>
      <w:proofErr w:type="spellEnd"/>
      <w:r w:rsidRPr="00254C04">
        <w:rPr>
          <w:sz w:val="28"/>
          <w:szCs w:val="28"/>
        </w:rPr>
        <w:t xml:space="preserve"> by using the femtosecond laser is also a very powerful technique to study nanoscale energy transfers due to its unparalleled temporal resolution (less than 10</w:t>
      </w:r>
      <w:r w:rsidRPr="00254C04">
        <w:rPr>
          <w:sz w:val="28"/>
          <w:szCs w:val="28"/>
          <w:vertAlign w:val="superscript"/>
        </w:rPr>
        <w:t>-12</w:t>
      </w:r>
      <w:r w:rsidRPr="00254C04">
        <w:rPr>
          <w:sz w:val="28"/>
          <w:szCs w:val="28"/>
        </w:rPr>
        <w:t xml:space="preserve">sec that can be easily reach by using the optical sampling). For example, the picosecond ultrasonic can be used in more precise measurements of extremely thin thickness, and in studying of the acoustic wave propagation. It has also been successfully applied in the field of nanoscale heat </w:t>
      </w:r>
      <w:r w:rsidRPr="00254C04">
        <w:rPr>
          <w:sz w:val="28"/>
          <w:szCs w:val="28"/>
        </w:rPr>
        <w:lastRenderedPageBreak/>
        <w:t xml:space="preserve">transfer to measure thermal conductivity of solid and liquid samples as well as </w:t>
      </w:r>
      <w:proofErr w:type="spellStart"/>
      <w:r w:rsidRPr="00254C04">
        <w:rPr>
          <w:sz w:val="28"/>
          <w:szCs w:val="28"/>
        </w:rPr>
        <w:t>Kapitza</w:t>
      </w:r>
      <w:proofErr w:type="spellEnd"/>
      <w:r w:rsidRPr="00254C04">
        <w:rPr>
          <w:sz w:val="28"/>
          <w:szCs w:val="28"/>
        </w:rPr>
        <w:t xml:space="preserve"> interface resistance between various materials.</w:t>
      </w:r>
    </w:p>
    <w:p w14:paraId="3CFEC7FA" w14:textId="77777777" w:rsidR="00254C04" w:rsidRPr="00254C04" w:rsidRDefault="00254C04" w:rsidP="00254C04">
      <w:pPr>
        <w:jc w:val="both"/>
        <w:rPr>
          <w:sz w:val="28"/>
          <w:szCs w:val="28"/>
        </w:rPr>
      </w:pPr>
      <w:r w:rsidRPr="00254C04">
        <w:rPr>
          <w:sz w:val="28"/>
          <w:szCs w:val="28"/>
        </w:rPr>
        <w:t xml:space="preserve">The basic principle of the pump-probe TDTR is simple: a brief laser pulse is used to generate the acoustic or heat waves through the absorption of the laser energy by a thin metallic transducer. Then a second delayed laser pulse is used to </w:t>
      </w:r>
      <w:proofErr w:type="spellStart"/>
      <w:r w:rsidRPr="00254C04">
        <w:rPr>
          <w:sz w:val="28"/>
          <w:szCs w:val="28"/>
        </w:rPr>
        <w:t>monitore</w:t>
      </w:r>
      <w:proofErr w:type="spellEnd"/>
      <w:r w:rsidRPr="00254C04">
        <w:rPr>
          <w:sz w:val="28"/>
          <w:szCs w:val="28"/>
        </w:rPr>
        <w:t xml:space="preserve"> the variation of the optical properties of this transducer. The delay between the two laser pulses is obtained by a mechanical delay line. The acoustic or the electro-optic modulator is also combined with a lock-in detection to improve the signal, to noise the ratio, and to detect tiny variations (ΔR/R ~10</w:t>
      </w:r>
      <w:r w:rsidRPr="00254C04">
        <w:rPr>
          <w:sz w:val="28"/>
          <w:szCs w:val="28"/>
          <w:vertAlign w:val="superscript"/>
        </w:rPr>
        <w:t>-5</w:t>
      </w:r>
      <w:r w:rsidRPr="00254C04">
        <w:rPr>
          <w:sz w:val="28"/>
          <w:szCs w:val="28"/>
        </w:rPr>
        <w:t>) of the transducer reflectivity.</w:t>
      </w:r>
    </w:p>
    <w:p w14:paraId="154AA148" w14:textId="77777777" w:rsidR="00254C04" w:rsidRPr="00254C04" w:rsidRDefault="00254C04" w:rsidP="00254C04">
      <w:pPr>
        <w:jc w:val="both"/>
        <w:rPr>
          <w:sz w:val="28"/>
          <w:szCs w:val="28"/>
        </w:rPr>
      </w:pPr>
      <w:r w:rsidRPr="00254C04">
        <w:rPr>
          <w:sz w:val="28"/>
          <w:szCs w:val="28"/>
        </w:rPr>
        <w:t>An example of the typical femtosecond pump-probe TDTR and measured thermal/acoustical signal is given in the following figure.</w:t>
      </w:r>
    </w:p>
    <w:p w14:paraId="6B1A0A5D" w14:textId="77777777" w:rsidR="00254C04" w:rsidRPr="00254C04" w:rsidRDefault="00254C04" w:rsidP="00254C04">
      <w:pPr>
        <w:jc w:val="both"/>
        <w:rPr>
          <w:sz w:val="28"/>
          <w:szCs w:val="28"/>
        </w:rPr>
      </w:pPr>
      <w:r w:rsidRPr="00254C04">
        <w:rPr>
          <w:noProof/>
          <w:sz w:val="28"/>
          <w:szCs w:val="28"/>
          <w:lang w:val="uk-UA" w:eastAsia="uk-UA"/>
        </w:rPr>
        <w:drawing>
          <wp:inline distT="0" distB="0" distL="0" distR="0" wp14:anchorId="41720BB8" wp14:editId="4F38793F">
            <wp:extent cx="6120130" cy="2059305"/>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9"/>
                    <a:stretch>
                      <a:fillRect/>
                    </a:stretch>
                  </pic:blipFill>
                  <pic:spPr>
                    <a:xfrm>
                      <a:off x="0" y="0"/>
                      <a:ext cx="6120130" cy="2059305"/>
                    </a:xfrm>
                    <a:prstGeom prst="rect">
                      <a:avLst/>
                    </a:prstGeom>
                  </pic:spPr>
                </pic:pic>
              </a:graphicData>
            </a:graphic>
          </wp:inline>
        </w:drawing>
      </w:r>
    </w:p>
    <w:p w14:paraId="610C8F5D" w14:textId="3B2D57BA" w:rsidR="00254C04" w:rsidRPr="00254C04" w:rsidRDefault="00254C04" w:rsidP="00254C04">
      <w:pPr>
        <w:jc w:val="center"/>
        <w:rPr>
          <w:sz w:val="28"/>
          <w:szCs w:val="28"/>
        </w:rPr>
      </w:pPr>
      <w:r w:rsidRPr="00254C04">
        <w:rPr>
          <w:b/>
          <w:bCs/>
          <w:sz w:val="28"/>
          <w:szCs w:val="28"/>
        </w:rPr>
        <w:t xml:space="preserve">Fig. </w:t>
      </w:r>
      <w:r w:rsidRPr="00254C04">
        <w:rPr>
          <w:b/>
          <w:bCs/>
          <w:sz w:val="28"/>
          <w:szCs w:val="28"/>
        </w:rPr>
        <w:t>5</w:t>
      </w:r>
      <w:r w:rsidRPr="00254C04">
        <w:rPr>
          <w:b/>
          <w:bCs/>
          <w:sz w:val="28"/>
          <w:szCs w:val="28"/>
        </w:rPr>
        <w:t>.</w:t>
      </w:r>
      <w:r w:rsidRPr="00254C04">
        <w:rPr>
          <w:sz w:val="28"/>
          <w:szCs w:val="28"/>
        </w:rPr>
        <w:t xml:space="preserve"> Left: the classical femtosecond TDTR setup. Middle: the sample capped with a thin metallic transducer. Right: the typical </w:t>
      </w:r>
      <w:proofErr w:type="spellStart"/>
      <w:r w:rsidRPr="00254C04">
        <w:rPr>
          <w:sz w:val="28"/>
          <w:szCs w:val="28"/>
        </w:rPr>
        <w:t>thermoreflectance</w:t>
      </w:r>
      <w:proofErr w:type="spellEnd"/>
      <w:r w:rsidRPr="00254C04">
        <w:rPr>
          <w:sz w:val="28"/>
          <w:szCs w:val="28"/>
        </w:rPr>
        <w:t xml:space="preserve"> contained both heat transfer and acoustical wave propagation.</w:t>
      </w:r>
    </w:p>
    <w:p w14:paraId="39E4CD1C" w14:textId="77777777" w:rsidR="00254C04" w:rsidRPr="00254C04" w:rsidRDefault="00254C04" w:rsidP="00254C04">
      <w:pPr>
        <w:jc w:val="both"/>
        <w:rPr>
          <w:sz w:val="28"/>
          <w:szCs w:val="28"/>
        </w:rPr>
      </w:pPr>
    </w:p>
    <w:p w14:paraId="199D7B59" w14:textId="77777777" w:rsidR="00254C04" w:rsidRPr="00254C04" w:rsidRDefault="00254C04" w:rsidP="00254C04">
      <w:pPr>
        <w:jc w:val="both"/>
        <w:rPr>
          <w:sz w:val="28"/>
          <w:szCs w:val="28"/>
        </w:rPr>
      </w:pPr>
      <w:r w:rsidRPr="00254C04">
        <w:rPr>
          <w:sz w:val="28"/>
          <w:szCs w:val="28"/>
        </w:rPr>
        <w:t>While this femtosecond pump-probe setup may be hardly built by novice, our team at LEMTA has a great experience in building such setup.</w:t>
      </w:r>
    </w:p>
    <w:p w14:paraId="2685036B" w14:textId="77777777" w:rsidR="001E27BA" w:rsidRPr="00254C04" w:rsidRDefault="001E27BA" w:rsidP="001E27BA">
      <w:pPr>
        <w:rPr>
          <w:sz w:val="28"/>
          <w:szCs w:val="28"/>
        </w:rPr>
      </w:pPr>
    </w:p>
    <w:sectPr w:rsidR="001E27BA" w:rsidRPr="00254C04">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Noto Serif CJK SC">
    <w:charset w:val="00"/>
    <w:family w:val="auto"/>
    <w:pitch w:val="variable"/>
  </w:font>
  <w:font w:name="Lohit Devanagari">
    <w:altName w:val="Times New Roman"/>
    <w:charset w:val="00"/>
    <w:family w:val="auto"/>
    <w:pitch w:val="variable"/>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7BA"/>
    <w:rsid w:val="001E27BA"/>
    <w:rsid w:val="00254C04"/>
    <w:rsid w:val="003C2FC3"/>
    <w:rsid w:val="00EC06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45BAA"/>
  <w15:chartTrackingRefBased/>
  <w15:docId w15:val="{7E2C58D9-8E66-4201-AEAE-3847E11B7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C04"/>
    <w:pPr>
      <w:suppressAutoHyphens/>
      <w:spacing w:after="0" w:line="240" w:lineRule="auto"/>
    </w:pPr>
    <w:rPr>
      <w:rFonts w:ascii="Times New Roman" w:eastAsia="Times New Roman" w:hAnsi="Times New Roman" w:cs="Times New Roman"/>
      <w:sz w:val="24"/>
      <w:szCs w:val="24"/>
      <w:lang w:val="en-GB" w:eastAsia="en-GB"/>
    </w:rPr>
  </w:style>
  <w:style w:type="paragraph" w:styleId="Heading1">
    <w:name w:val="heading 1"/>
    <w:basedOn w:val="Normal"/>
    <w:next w:val="Normal"/>
    <w:link w:val="Heading1Char"/>
    <w:uiPriority w:val="9"/>
    <w:qFormat/>
    <w:rsid w:val="001E27BA"/>
    <w:pPr>
      <w:keepNext/>
      <w:keepLines/>
      <w:suppressAutoHyphens w:val="0"/>
      <w:spacing w:before="240" w:line="259" w:lineRule="auto"/>
      <w:outlineLvl w:val="0"/>
    </w:pPr>
    <w:rPr>
      <w:rFonts w:asciiTheme="majorHAnsi" w:eastAsiaTheme="majorEastAsia" w:hAnsiTheme="majorHAnsi" w:cstheme="majorBidi"/>
      <w:color w:val="2F5496" w:themeColor="accent1" w:themeShade="BF"/>
      <w:sz w:val="32"/>
      <w:szCs w:val="3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27BA"/>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1E27BA"/>
    <w:pPr>
      <w:suppressAutoHyphens w:val="0"/>
      <w:contextualSpacing/>
    </w:pPr>
    <w:rPr>
      <w:rFonts w:asciiTheme="majorHAnsi" w:eastAsiaTheme="majorEastAsia" w:hAnsiTheme="majorHAnsi" w:cstheme="majorBidi"/>
      <w:spacing w:val="-10"/>
      <w:kern w:val="28"/>
      <w:sz w:val="56"/>
      <w:szCs w:val="56"/>
      <w:lang w:val="en-US" w:eastAsia="en-US"/>
    </w:rPr>
  </w:style>
  <w:style w:type="character" w:customStyle="1" w:styleId="TitleChar">
    <w:name w:val="Title Char"/>
    <w:basedOn w:val="DefaultParagraphFont"/>
    <w:link w:val="Title"/>
    <w:uiPriority w:val="10"/>
    <w:rsid w:val="001E27BA"/>
    <w:rPr>
      <w:rFonts w:asciiTheme="majorHAnsi" w:eastAsiaTheme="majorEastAsia" w:hAnsiTheme="majorHAnsi" w:cstheme="majorBidi"/>
      <w:spacing w:val="-10"/>
      <w:kern w:val="28"/>
      <w:sz w:val="56"/>
      <w:szCs w:val="56"/>
    </w:rPr>
  </w:style>
  <w:style w:type="character" w:customStyle="1" w:styleId="st">
    <w:name w:val="st"/>
    <w:basedOn w:val="DefaultParagraphFont"/>
    <w:qFormat/>
    <w:rsid w:val="00254C04"/>
  </w:style>
  <w:style w:type="character" w:styleId="Emphasis">
    <w:name w:val="Emphasis"/>
    <w:basedOn w:val="DefaultParagraphFont"/>
    <w:uiPriority w:val="20"/>
    <w:qFormat/>
    <w:rsid w:val="00254C04"/>
    <w:rPr>
      <w:i/>
      <w:iCs/>
    </w:rPr>
  </w:style>
  <w:style w:type="paragraph" w:customStyle="1" w:styleId="Textbody">
    <w:name w:val="Text body"/>
    <w:basedOn w:val="Normal"/>
    <w:qFormat/>
    <w:rsid w:val="00254C04"/>
    <w:pPr>
      <w:spacing w:after="140" w:line="276" w:lineRule="auto"/>
      <w:textAlignment w:val="baseline"/>
    </w:pPr>
    <w:rPr>
      <w:rFonts w:ascii="Liberation Serif" w:eastAsia="Noto Serif CJK SC" w:hAnsi="Liberation Serif" w:cs="Lohit Devanagari"/>
      <w:kern w:val="2"/>
      <w:lang w:val="en-US" w:eastAsia="zh-CN" w:bidi="hi-IN"/>
    </w:rPr>
  </w:style>
  <w:style w:type="table" w:styleId="TableGrid">
    <w:name w:val="Table Grid"/>
    <w:basedOn w:val="TableNormal"/>
    <w:uiPriority w:val="99"/>
    <w:rsid w:val="00254C04"/>
    <w:pPr>
      <w:suppressAutoHyphens/>
      <w:spacing w:after="0" w:line="240" w:lineRule="auto"/>
    </w:pPr>
    <w:rPr>
      <w:rFonts w:ascii="Times New Roman" w:eastAsia="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17AD1-E121-44F3-9C0D-68C232C1C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6</Pages>
  <Words>4859</Words>
  <Characters>27702</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Mykola Isaiev</dc:creator>
  <cp:keywords/>
  <dc:description/>
  <cp:lastModifiedBy>Mykola Isaiev</cp:lastModifiedBy>
  <cp:revision>1</cp:revision>
  <dcterms:created xsi:type="dcterms:W3CDTF">2021-11-26T08:29:00Z</dcterms:created>
  <dcterms:modified xsi:type="dcterms:W3CDTF">2021-11-26T09:09:00Z</dcterms:modified>
</cp:coreProperties>
</file>