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66ADC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14:paraId="172E6E10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14:paraId="6B41241E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14:paraId="3D13779A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14:paraId="2EE02D95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>23 СІЧНЯ 2024 р., протокол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8</w:t>
      </w: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941706A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14:paraId="0E8270B2" w14:textId="77777777" w:rsidR="00B87DDA" w:rsidRP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2A1C81" w14:textId="77777777"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14:paraId="1394516A" w14:textId="77777777"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287DC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ФІЗИКИ</w:t>
      </w:r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НАНОСИСТЕМ</w:t>
      </w:r>
    </w:p>
    <w:p w14:paraId="3C040D19" w14:textId="77777777" w:rsidR="00D8176C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ОСВІТНЬО-НАУКОВОЮ</w:t>
      </w:r>
      <w:r w:rsidR="00B87DDA"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ПРОГРАМОЮ: </w:t>
      </w:r>
    </w:p>
    <w:p w14:paraId="02775DC4" w14:textId="77777777" w:rsidR="00B87DDA" w:rsidRDefault="00B87DDA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>ФІЗИКА НАНОСИСТЕМ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3854C7F9" w14:textId="77777777" w:rsidR="00D8176C" w:rsidRPr="00B87DDA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8875E6" w14:textId="77777777"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>Перелік питань з фізики наносистем</w:t>
      </w:r>
    </w:p>
    <w:p w14:paraId="391FCC40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Принцип роботи одноелектронного транзистора. Поняття «кулонівські алмази».</w:t>
      </w:r>
    </w:p>
    <w:p w14:paraId="13EB88F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отримання нанорозмірних вуглецевих структур (фулеренів, ВНТ, графенів та графеноподібних структур).</w:t>
      </w:r>
    </w:p>
    <w:p w14:paraId="4DF26424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Скейлінг: принцип, переваги, труднощі. </w:t>
      </w:r>
    </w:p>
    <w:p w14:paraId="66F88EF2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Зонна структура одностінних вуглецевих нанотрубок різної хіральності.</w:t>
      </w:r>
    </w:p>
    <w:p w14:paraId="6890B9E5" w14:textId="77777777" w:rsidR="00FE33F2" w:rsidRPr="00F43CD5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F43CD5">
        <w:rPr>
          <w:rFonts w:ascii="Times New Roman" w:eastAsia="Calibri" w:hAnsi="Times New Roman" w:cs="Times New Roman"/>
          <w:sz w:val="28"/>
          <w:szCs w:val="28"/>
          <w:highlight w:val="yellow"/>
        </w:rPr>
        <w:t>Методи створення контактів до окремих молекул.</w:t>
      </w:r>
    </w:p>
    <w:p w14:paraId="13387A2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функціоналізації та модифікації нановуглецевих структур.</w:t>
      </w:r>
    </w:p>
    <w:p w14:paraId="78B41771" w14:textId="77777777" w:rsidR="00FE33F2" w:rsidRPr="00010C58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Резонансно-тунельний діод. Резонансно-тунельний транзистор.</w:t>
      </w:r>
    </w:p>
    <w:p w14:paraId="2FF436F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Структура вуглецевих нанотрубок. Хіральні та ахіральні вуглецеві нанотрубки, індекси хіральності.</w:t>
      </w:r>
    </w:p>
    <w:p w14:paraId="46EEB2AC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Самоорганізовані квантові точки: синтез, структурні особливості, перспективи використання.</w:t>
      </w:r>
    </w:p>
    <w:p w14:paraId="4E4948C0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Концентраційні та температурні залежності електропровідності полімерних композитів на основі нановуглецевих структур. Перколяційна модель.</w:t>
      </w:r>
    </w:p>
    <w:p w14:paraId="6C78C68A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14:paraId="70657F5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 Монте-Карло для моделювання наноструктур. Алгоритм Метрополіса.</w:t>
      </w:r>
    </w:p>
    <w:p w14:paraId="00D2F2F8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Моделі електропровідності одностінних та багатостінних ВНТ.</w:t>
      </w:r>
    </w:p>
    <w:p w14:paraId="37BFB6C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формування та застосування кремнієвих нанониток.</w:t>
      </w:r>
    </w:p>
    <w:p w14:paraId="50D41AAE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Колоїдні квантові точки: основні види, методи синтезу, прикладні застосування.</w:t>
      </w:r>
    </w:p>
    <w:p w14:paraId="74106C7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lastRenderedPageBreak/>
        <w:t>Структурні моделі аморфного стану. Аморфно-нанокристалічні сплави, їх властивості, способи їх отримання. Методи керованого наноструктурування з аморфного стану.</w:t>
      </w:r>
    </w:p>
    <w:p w14:paraId="351DD03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Розсіювання електрона на потенціальному бар’єрі кінцевої ширини. Інтерференційні ефекти при надбар’єрному проходженні електронів.</w:t>
      </w:r>
    </w:p>
    <w:p w14:paraId="53CAD195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Поляризаційна залежність міжзонного поглинання світла в квантових ямах.</w:t>
      </w:r>
    </w:p>
    <w:p w14:paraId="26D73306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28CD244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Формування наноструктури під час інтенсивної пластичної деформації.</w:t>
      </w:r>
    </w:p>
    <w:p w14:paraId="60F4987E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Рівноважна концентрація електронів та положення рівня Фермі у напівпровідникових квантових ямах та дротах.</w:t>
      </w:r>
    </w:p>
    <w:p w14:paraId="228B138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Термодинамічні особливості процесів фазового розшарування за механізмом спінодального розпаду в аморфній фазі. </w:t>
      </w:r>
    </w:p>
    <w:p w14:paraId="4C79289D" w14:textId="77777777" w:rsidR="00FE33F2" w:rsidRPr="00010C58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Селективно-леговані структури.</w:t>
      </w:r>
    </w:p>
    <w:p w14:paraId="5F17F190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Основні рівняння теорії гетерогенного зародкоутворення в однокомпонентних та бінарних системах. </w:t>
      </w:r>
    </w:p>
    <w:p w14:paraId="349B1C0C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Термодинамічні критерії легкої аморфізації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14:paraId="3D8FC01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Поглинання світла при прямих та непрямих переходах в напівпровідниках.</w:t>
      </w:r>
    </w:p>
    <w:p w14:paraId="4EC81F7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Правила відбору для міжзонних оптичних переходів в квантових ямах.</w:t>
      </w:r>
    </w:p>
    <w:p w14:paraId="6E6D2460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Вплив структурних дефектів на процес руйнування металів та керамік. </w:t>
      </w:r>
    </w:p>
    <w:p w14:paraId="6C195D8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Правило Хола-Петча та його особливості для наноматеріалів.</w:t>
      </w:r>
    </w:p>
    <w:p w14:paraId="2425D83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Деградація характеристик наноматеріалів в результаті опромінення нейтронами та γ-квантами. Радіаційностійкі та радіаційнопоглинаючі матеріали, їх властивості. </w:t>
      </w:r>
    </w:p>
    <w:p w14:paraId="5AE382A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Коефіцієнт поглинання для міжзонних переходів в квантових ямах.</w:t>
      </w:r>
    </w:p>
    <w:p w14:paraId="65190D7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Молекулярно-променева епітаксія. Режими гетероепітаксійного росту.</w:t>
      </w:r>
    </w:p>
    <w:p w14:paraId="0D27BB7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Система рівнянь для опису процесу гомогенного зародкоутворення в бінарних системах. Радіус та робота утворення критичного зародка, частота зародкоутворення, лінійна швидкість росту кристалів, об’ємна частка кристалічної фази.</w:t>
      </w:r>
    </w:p>
    <w:p w14:paraId="4850C25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Літографічні методи отримання структур з квантовими точками.</w:t>
      </w:r>
    </w:p>
    <w:p w14:paraId="5D3D51B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Термодинамічний критерій можливості фазового розшарування аморфного бінарного сплаву.</w:t>
      </w:r>
    </w:p>
    <w:p w14:paraId="14748A7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Електроімпульсне плазмове спікання нанопорошків.</w:t>
      </w:r>
    </w:p>
    <w:p w14:paraId="55F188F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Квантові розмірні ефекти в наноструктурованому кремнії. Люмінесценція.</w:t>
      </w:r>
    </w:p>
    <w:p w14:paraId="2E1F73D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Правила відбору для внутрішньозонних оптичних переходів в квантових ямах.</w:t>
      </w:r>
    </w:p>
    <w:p w14:paraId="07AC0DB3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синтезу та механізми формування поруватого кремнію.</w:t>
      </w:r>
    </w:p>
    <w:p w14:paraId="6E96328A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Молекулярна динаміка як універсальний метод дослідження наноматеріалів.</w:t>
      </w:r>
    </w:p>
    <w:p w14:paraId="131DBFE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Оптичні властивості середовищ на основі поруватого кремнію.</w:t>
      </w:r>
    </w:p>
    <w:p w14:paraId="77581725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Механізми молекулярної провідності.</w:t>
      </w:r>
    </w:p>
    <w:p w14:paraId="097CEDEA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Основні положення нанотермодинаміки.   </w:t>
      </w:r>
    </w:p>
    <w:p w14:paraId="18BFED12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дослідження низькорозмірних напівпровідникових структур.</w:t>
      </w:r>
    </w:p>
    <w:p w14:paraId="15F694D2" w14:textId="77777777" w:rsidR="00FE33F2" w:rsidRDefault="00FE33F2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D9709D" w14:textId="77777777" w:rsid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7B99A4" w14:textId="6192117F" w:rsid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Коротченков</w:t>
      </w:r>
    </w:p>
    <w:p w14:paraId="0C27A759" w14:textId="50511BFB" w:rsidR="00EC3373" w:rsidRDefault="00EC3373" w:rsidP="00EC3373">
      <w:pPr>
        <w:pStyle w:val="a3"/>
        <w:numPr>
          <w:ilvl w:val="0"/>
          <w:numId w:val="3"/>
        </w:numPr>
        <w:suppressAutoHyphens/>
        <w:spacing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3373">
        <w:rPr>
          <w:rFonts w:ascii="Times New Roman" w:eastAsia="Calibri" w:hAnsi="Times New Roman" w:cs="Times New Roman"/>
          <w:sz w:val="28"/>
          <w:szCs w:val="28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14:paraId="459A928F" w14:textId="7C27D562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19.</w:t>
      </w:r>
      <w:r w:rsidRPr="00EC33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03A55C38" w14:textId="414F2D92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21.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Рівноважна концентрація електронів та положення рівня Фермі у напівпровідникових квантових ямах та дротах.</w:t>
      </w:r>
    </w:p>
    <w:p w14:paraId="6BB1BD15" w14:textId="77777777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D5B333" w14:textId="1558E2C5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Оліх</w:t>
      </w:r>
    </w:p>
    <w:p w14:paraId="40951B1B" w14:textId="61EE20D1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42. </w:t>
      </w:r>
      <w:r w:rsidRPr="00BF4ACE">
        <w:rPr>
          <w:rFonts w:ascii="Times New Roman" w:eastAsia="Calibri" w:hAnsi="Times New Roman" w:cs="Times New Roman"/>
          <w:sz w:val="28"/>
          <w:szCs w:val="28"/>
        </w:rPr>
        <w:t>Механізми молекулярної провідності.</w:t>
      </w:r>
    </w:p>
    <w:p w14:paraId="1F8FD1EE" w14:textId="1F65AE6A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BF4ACE">
        <w:rPr>
          <w:rFonts w:ascii="Times New Roman" w:eastAsia="Calibri" w:hAnsi="Times New Roman" w:cs="Times New Roman"/>
          <w:sz w:val="28"/>
          <w:szCs w:val="28"/>
        </w:rPr>
        <w:t>Принцип роботи одноелектронного транзистора. Поняття «кулонівські алмази».</w:t>
      </w:r>
    </w:p>
    <w:p w14:paraId="4073AC63" w14:textId="7C27187D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Скейлінг: принцип, переваги, труднощі.</w:t>
      </w:r>
    </w:p>
    <w:p w14:paraId="69673055" w14:textId="111C0F2D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="00F43CD5" w:rsidRPr="00BF4ACE">
        <w:rPr>
          <w:rFonts w:ascii="Times New Roman" w:eastAsia="Calibri" w:hAnsi="Times New Roman" w:cs="Times New Roman"/>
          <w:sz w:val="28"/>
          <w:szCs w:val="28"/>
        </w:rPr>
        <w:t>Методи створення контактів до окремих молекул.</w:t>
      </w:r>
    </w:p>
    <w:p w14:paraId="2AF50623" w14:textId="33F4519B" w:rsidR="00F43CD5" w:rsidRDefault="00010C58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F43CD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Резонансно-тунельний діод. Резонансно-тунельний транзистор.</w:t>
      </w:r>
    </w:p>
    <w:p w14:paraId="6CCED493" w14:textId="3F23A55F" w:rsidR="00010C58" w:rsidRPr="00EC3373" w:rsidRDefault="00010C58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23.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Селективно-леговані структури.</w:t>
      </w:r>
    </w:p>
    <w:p w14:paraId="53E1ED8D" w14:textId="77777777" w:rsidR="00EC3373" w:rsidRP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9295A2" w14:textId="77777777" w:rsidR="00EC3373" w:rsidRP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FB8087E" w14:textId="77777777"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</w:p>
    <w:p w14:paraId="422A9933" w14:textId="77777777" w:rsidR="00FE33F2" w:rsidRPr="00FE33F2" w:rsidRDefault="00FE33F2" w:rsidP="00BD1F73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t>Методи аналітичного опису механіч</w:t>
      </w:r>
      <w:r w:rsidR="00BF4ACE" w:rsidRPr="00BF4ACE">
        <w:rPr>
          <w:rFonts w:ascii="Times New Roman" w:hAnsi="Times New Roman" w:cs="Times New Roman"/>
          <w:sz w:val="28"/>
          <w:szCs w:val="28"/>
        </w:rPr>
        <w:t xml:space="preserve">них систем. Порівняльний аналіз </w:t>
      </w:r>
      <w:r w:rsidRPr="00BF4ACE">
        <w:rPr>
          <w:rFonts w:ascii="Times New Roman" w:hAnsi="Times New Roman" w:cs="Times New Roman"/>
          <w:sz w:val="28"/>
          <w:szCs w:val="28"/>
        </w:rPr>
        <w:t>механіки Ньютона,</w:t>
      </w:r>
      <w:r w:rsidR="00BF4ACE">
        <w:rPr>
          <w:rFonts w:ascii="Times New Roman" w:hAnsi="Times New Roman" w:cs="Times New Roman"/>
          <w:sz w:val="28"/>
          <w:szCs w:val="28"/>
        </w:rPr>
        <w:t xml:space="preserve"> </w:t>
      </w:r>
      <w:r w:rsidRPr="00FE33F2">
        <w:rPr>
          <w:rFonts w:ascii="Times New Roman" w:hAnsi="Times New Roman" w:cs="Times New Roman"/>
          <w:sz w:val="28"/>
          <w:szCs w:val="28"/>
        </w:rPr>
        <w:t>Лагранжа, Гамільтона.</w:t>
      </w:r>
    </w:p>
    <w:p w14:paraId="774401AE" w14:textId="77777777" w:rsidR="00FE33F2" w:rsidRPr="00FE33F2" w:rsidRDefault="00FE33F2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3F2">
        <w:rPr>
          <w:rFonts w:ascii="Times New Roman" w:hAnsi="Times New Roman" w:cs="Times New Roman"/>
          <w:sz w:val="28"/>
          <w:szCs w:val="28"/>
        </w:rPr>
        <w:t>2.</w:t>
      </w:r>
      <w:r w:rsidR="00BF4ACE">
        <w:rPr>
          <w:rFonts w:ascii="Times New Roman" w:hAnsi="Times New Roman" w:cs="Times New Roman"/>
          <w:sz w:val="28"/>
          <w:szCs w:val="28"/>
        </w:rPr>
        <w:tab/>
      </w:r>
      <w:r w:rsidRPr="00FE33F2">
        <w:rPr>
          <w:rFonts w:ascii="Times New Roman" w:hAnsi="Times New Roman" w:cs="Times New Roman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14:paraId="07016D58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Динаміка поступального і обертального руху твердого тіла.</w:t>
      </w:r>
    </w:p>
    <w:p w14:paraId="5CCC89A1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Явища переносу (дифузія, в’язкість, теплопровідність).</w:t>
      </w:r>
    </w:p>
    <w:p w14:paraId="2DC8DC53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положення фізики фазових переходів.</w:t>
      </w:r>
    </w:p>
    <w:p w14:paraId="0DB9392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Функції розподілу Максвела-Больцмана, Фермі-Дірака, Бозе-Ейнштейна.</w:t>
      </w:r>
    </w:p>
    <w:p w14:paraId="15D1DD8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закони термодинаміки. Умови термодинамічної рівноваги.</w:t>
      </w:r>
    </w:p>
    <w:p w14:paraId="2F2BD6B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Нерівноважні процеси в системі багатьох частинок. Одночастинкова функція розподілу.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Кінетичне рівняння Больцмана.</w:t>
      </w:r>
    </w:p>
    <w:p w14:paraId="3FD8E21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14:paraId="7E65EA8F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Електромагнітні хвилі. Хвильове рівняння. Плоскі та сферичні хвилі. Поляризація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електромагнітних хвиль. Стоячі хвилі.</w:t>
      </w:r>
    </w:p>
    <w:p w14:paraId="26E4733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14:paraId="2525348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Дифракція світла і рентгенівського проміння: прояви і застосування.</w:t>
      </w:r>
    </w:p>
    <w:p w14:paraId="1F5D5C0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14:paraId="5B9FBCAD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Нульові коливання вакууму. Зсув Лемба.</w:t>
      </w:r>
    </w:p>
    <w:p w14:paraId="1A160DAB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рівняння квантової механіки: рівняння Шредінгера, Дірака, Паулі.</w:t>
      </w:r>
    </w:p>
    <w:p w14:paraId="5B17244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Методи квантового опису систем багатьох частинок: адіабатичне наближення, метод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Хартрі-Фока.</w:t>
      </w:r>
    </w:p>
    <w:p w14:paraId="21D7726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Квазічастинки в фізиці: фонони, поляритони, екситони, плазмони, магнони.</w:t>
      </w:r>
    </w:p>
    <w:p w14:paraId="614C1B73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Фізичні принципи роботи лазерів. Характеристики лазерного випромінювання.</w:t>
      </w:r>
    </w:p>
    <w:p w14:paraId="3FC602A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Фізична модель Всесвіту. Великий вибух та еволюція Всесвіту. Утворення елементарних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частинок та хімічних елементів.</w:t>
      </w:r>
    </w:p>
    <w:p w14:paraId="2A60FF3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662B9115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Кварки та глюони, їх основні характеристики. Кваркова структура баріонів та мезонів.</w:t>
      </w:r>
    </w:p>
    <w:p w14:paraId="3069C3FF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Інерціальні та неінерціальні системи відліку. Сили інерції. Динаміка системи матеріальних точок.</w:t>
      </w:r>
    </w:p>
    <w:p w14:paraId="6490E0A8" w14:textId="77777777" w:rsidR="00B87DDA" w:rsidRPr="00B87DDA" w:rsidRDefault="00B87DDA" w:rsidP="00BD1F73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14:paraId="250770C3" w14:textId="77777777" w:rsidR="00B87DDA" w:rsidRPr="00B87DDA" w:rsidRDefault="00B87DDA" w:rsidP="00BD1F7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</w:t>
      </w:r>
      <w:r w:rsidR="00B5450C">
        <w:rPr>
          <w:rFonts w:ascii="Times New Roman" w:eastAsia="Calibri" w:hAnsi="Times New Roman" w:cs="Times New Roman"/>
          <w:sz w:val="28"/>
          <w:szCs w:val="28"/>
        </w:rPr>
        <w:t>ізичного факультету, протокол №</w:t>
      </w:r>
      <w:r w:rsidRPr="00B87DDA">
        <w:rPr>
          <w:rFonts w:ascii="Times New Roman" w:eastAsia="Calibri" w:hAnsi="Times New Roman" w:cs="Times New Roman"/>
          <w:sz w:val="28"/>
          <w:szCs w:val="28"/>
        </w:rPr>
        <w:t>3 від 1</w:t>
      </w:r>
      <w:r w:rsidR="00B5450C">
        <w:rPr>
          <w:rFonts w:ascii="Times New Roman" w:eastAsia="Calibri" w:hAnsi="Times New Roman" w:cs="Times New Roman"/>
          <w:sz w:val="28"/>
          <w:szCs w:val="28"/>
        </w:rPr>
        <w:t>9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5450C">
        <w:rPr>
          <w:rFonts w:ascii="Times New Roman" w:eastAsia="Calibri" w:hAnsi="Times New Roman" w:cs="Times New Roman"/>
          <w:sz w:val="28"/>
          <w:szCs w:val="28"/>
        </w:rPr>
        <w:t>січня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5450C">
        <w:rPr>
          <w:rFonts w:ascii="Times New Roman" w:eastAsia="Calibri" w:hAnsi="Times New Roman" w:cs="Times New Roman"/>
          <w:sz w:val="28"/>
          <w:szCs w:val="28"/>
        </w:rPr>
        <w:t>4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14:paraId="297DB99D" w14:textId="77777777" w:rsidR="00347F2A" w:rsidRDefault="00347F2A" w:rsidP="00BD1F73">
      <w:pPr>
        <w:jc w:val="both"/>
      </w:pPr>
    </w:p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2E92"/>
    <w:multiLevelType w:val="hybridMultilevel"/>
    <w:tmpl w:val="746A907E"/>
    <w:lvl w:ilvl="0" w:tplc="5F20E8C6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CF1534C"/>
    <w:multiLevelType w:val="hybridMultilevel"/>
    <w:tmpl w:val="E0466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9730087">
    <w:abstractNumId w:val="2"/>
  </w:num>
  <w:num w:numId="2" w16cid:durableId="1783839702">
    <w:abstractNumId w:val="1"/>
  </w:num>
  <w:num w:numId="3" w16cid:durableId="162499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DA"/>
    <w:rsid w:val="00010C58"/>
    <w:rsid w:val="00287DCD"/>
    <w:rsid w:val="003438C1"/>
    <w:rsid w:val="00347F2A"/>
    <w:rsid w:val="00390A0D"/>
    <w:rsid w:val="00455F23"/>
    <w:rsid w:val="004B0482"/>
    <w:rsid w:val="00811E24"/>
    <w:rsid w:val="00B0160B"/>
    <w:rsid w:val="00B0754A"/>
    <w:rsid w:val="00B5450C"/>
    <w:rsid w:val="00B87DDA"/>
    <w:rsid w:val="00BD1F73"/>
    <w:rsid w:val="00BF4ACE"/>
    <w:rsid w:val="00D8176C"/>
    <w:rsid w:val="00EC3373"/>
    <w:rsid w:val="00EC7CF3"/>
    <w:rsid w:val="00F43CD5"/>
    <w:rsid w:val="00FA54DB"/>
    <w:rsid w:val="00FE0922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1076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4328</Words>
  <Characters>2468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oleg</cp:lastModifiedBy>
  <cp:revision>18</cp:revision>
  <dcterms:created xsi:type="dcterms:W3CDTF">2023-03-29T10:46:00Z</dcterms:created>
  <dcterms:modified xsi:type="dcterms:W3CDTF">2024-11-29T06:13:00Z</dcterms:modified>
</cp:coreProperties>
</file>