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ЕТАПИ РЕАЛІЗАЦІЇ 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конкурсного відбору за конкурсом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color w:val="000000"/>
          <w:highlight w:val="green"/>
        </w:rPr>
      </w:pPr>
      <w:r w:rsidDel="00000000" w:rsidR="00000000" w:rsidRPr="00000000">
        <w:rPr>
          <w:b w:val="1"/>
          <w:color w:val="000000"/>
          <w:highlight w:val="green"/>
          <w:rtl w:val="0"/>
        </w:rPr>
        <w:t xml:space="preserve">«Передові дослідження в галузі математичних, природничих і технічних наук</w:t>
      </w:r>
      <w:r w:rsidDel="00000000" w:rsidR="00000000" w:rsidRPr="00000000">
        <w:rPr>
          <w:b w:val="1"/>
          <w:color w:val="000000"/>
          <w:sz w:val="20"/>
          <w:szCs w:val="20"/>
          <w:highlight w:val="green"/>
          <w:rtl w:val="0"/>
        </w:rPr>
        <w:t xml:space="preserve">”</w:t>
      </w:r>
      <w:r w:rsidDel="00000000" w:rsidR="00000000" w:rsidRPr="00000000">
        <w:rPr>
          <w:b w:val="1"/>
          <w:color w:val="000000"/>
          <w:highlight w:val="green"/>
          <w:rtl w:val="0"/>
        </w:rPr>
        <w:t xml:space="preserve">» та</w:t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jc w:val="center"/>
        <w:rPr>
          <w:rFonts w:ascii="Arial" w:cs="Arial" w:eastAsia="Arial" w:hAnsi="Arial"/>
          <w:b w:val="1"/>
          <w:strike w:val="1"/>
          <w:sz w:val="20"/>
          <w:szCs w:val="20"/>
          <w:highlight w:val="green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highlight w:val="green"/>
          <w:rtl w:val="0"/>
        </w:rPr>
        <w:t xml:space="preserve">«Людина, суспільство, наука перед сучасними викликами: інноваційні дослідження в суспільно-гуманітарній сфері»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1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"/>
        <w:gridCol w:w="1384"/>
        <w:gridCol w:w="3578"/>
        <w:gridCol w:w="1984"/>
        <w:gridCol w:w="2694"/>
        <w:tblGridChange w:id="0">
          <w:tblGrid>
            <w:gridCol w:w="781"/>
            <w:gridCol w:w="1384"/>
            <w:gridCol w:w="3578"/>
            <w:gridCol w:w="1984"/>
            <w:gridCol w:w="26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Етап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Дати виконання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Стислий зміст етапу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Терміни виконання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Коментарі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01.10.2021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Оголошення Конкурсу, розміщення інформації на веб-сайті НФДУ + об’ява щодо обрання КК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день оголошення конкурсу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04.10-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08.10.2021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Обрання Комісії Конкурсу секціями НР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 (з них 3 р.д. на прийняття анкет)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12.10-</w:t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Отримання проєктних заявок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 к. д.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12.10-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02.11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Обрання голови та заступника голови Комісії Конкурсу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пізніше ніж за 10 р.д. до кінцевого терміну прийняття заявок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12.10-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09.11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Визначення складу Панелей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не пізніше 5  р.д. до кінцевого терміну прийняття заявок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12.10-12.11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Обрання Арбітрів та Спостерігачів 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 пізніше 2 р.д. до кінцевого терміну прийняття заявок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15.11-17.11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Відкриття Арбітрам та Спостерігачам доступу до Автоматизованої системи НФДУ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к. д.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17.11-23.11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Перевірка проєктних заявок на відповідність формальним ознакам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24.11-25.11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Призначення 2-х Кураторів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р. д.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25.11-29.11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Повідомлення учасників Конкурсу про відхилення по формальним ознакам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26.11-02.12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Затвердження рейтингових списків можливих експертів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03.12-09.12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Надсилання запиту експертам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10.12-15.12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Отримання згоди експерта 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д.+ 1 р. д.</w:t>
            </w:r>
          </w:p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16.12-31.12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Ухвалення фінансових звітів за договорами 2021 року!!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8а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04.01-19.01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Отримання згоди іншого експерта, формування додаткового рейтингового списку експертів,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підготовка до підписання договорів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д.+ 1 р. д.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д.+ 1 р. д.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 випадку відмови першого експерта (максимум дві операції на  додаткову заміну експерта)</w:t>
            </w:r>
          </w:p>
        </w:tc>
      </w:tr>
      <w:tr>
        <w:trPr>
          <w:cantSplit w:val="0"/>
          <w:trHeight w:val="80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20.01-21.01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Надання експерту доступу до матеріалів (Автоматизована система НФДУ)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після підписання договорів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р. д.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jc w:val="right"/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i w:val="1"/>
          <w:rtl w:val="0"/>
        </w:rPr>
        <w:t xml:space="preserve">Продовження табл.</w:t>
      </w:r>
    </w:p>
    <w:tbl>
      <w:tblPr>
        <w:tblStyle w:val="Table2"/>
        <w:tblW w:w="10335.0" w:type="dxa"/>
        <w:jc w:val="left"/>
        <w:tblInd w:w="-1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4"/>
        <w:gridCol w:w="1491"/>
        <w:gridCol w:w="3687"/>
        <w:gridCol w:w="1613"/>
        <w:gridCol w:w="2870"/>
        <w:tblGridChange w:id="0">
          <w:tblGrid>
            <w:gridCol w:w="674"/>
            <w:gridCol w:w="1491"/>
            <w:gridCol w:w="3687"/>
            <w:gridCol w:w="1613"/>
            <w:gridCol w:w="2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Етап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Дати виконання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Стислий зміст етапу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Терміни виконання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Коментарі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24.01-07.02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Експертиза проєктів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  к. д.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08.02-09.02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Перевірка Кураторами висновків експертів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р. д.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10.02-14.02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Ухвалення рішення про прийняття висновків експертів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15.02-17.02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Доопрацювання висновків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18.02-22.02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Розгляд доопрацьованих висновків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23.02-10.03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Проведення експертизи новим експертом (отримання згоди, проведення експертизи, розгляд висновку Комісії Конкурсу)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</w:t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р. д.</w:t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випадку, якщо Комісія Конкурсу не прийняла експертний висновок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11.03-21.03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Розгляд заявок Комісією Конкурсу та ухвалення рейтингових списків проєктів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 р .д.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22.03-28.03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Протокол за результатами та рейтинговими списками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29.03-29.03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Передача протоколу до  Наукової ради 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1 р. д.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визначено в Порядку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30.03-31.03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Затвердження результатів Конкурсу протоколом Наукової ради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2 р. д.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 визначено в Порядку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01.04-07.04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Оприлюднення на веб-сайті НФДУ рішення Наукової ради про результати конкурсу та видання наказу про переможців Конкурсу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р. д.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08.04-24.05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Ведення переговорів щодо  укладання договорів та ухвалення рішення щодо надання грантів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1,5 місяця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 01.06.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Укладання договорів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 мірі надходження погоджених договорів 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Примітки: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етап обрання експертів проєкту може тривати від 8 до 20 робочих днів;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етап розгляду експертних висновків Комісією Конкурсу може тривати від 10 до 27 робочих днів (у випадку залучення додаткових експертів);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усі форс-мажорні обставини, які можуть виникнути в ході конкурсного відбору, вирішуються в межах означених етапів;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разі порушення термінів виконання етапів, ставиться під загрозу реалізація конкурсного відбору відповідно до Порядку розгляду та експертизи проєктів із виконання наукових досліджень і розробок, що подаються Національному фонду досліджень України для участі в конкурсних відборах, схваленого рішенням наукової ради Національного фонду досліджень України (протокол засідання № 25 від 29.06.2021);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для прискорення початку фінансування переможців необхідно максимально скоротити процес затвердження результатів Конкурсу Науковою радою Фонду (термін етапу не визначений у Порядку).</w:t>
      </w: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567" w:top="567" w:left="1134" w:right="56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160" w:before="0" w:line="259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160" w:before="0" w:line="259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60" w:line="259" w:lineRule="auto"/>
    </w:pPr>
    <w:rPr>
      <w:rFonts w:cs="Calibri"/>
      <w:sz w:val="22"/>
      <w:szCs w:val="22"/>
      <w:lang w:eastAsia="en-US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99"/>
    <w:qFormat w:val="1"/>
    <w:rsid w:val="008A4008"/>
    <w:pPr>
      <w:ind w:left="720"/>
    </w:pPr>
  </w:style>
  <w:style w:type="table" w:styleId="a4">
    <w:name w:val="Table Grid"/>
    <w:basedOn w:val="a1"/>
    <w:uiPriority w:val="99"/>
    <w:rsid w:val="008A4008"/>
    <w:rPr>
      <w:rFonts w:cs="Calibri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Balloon Text"/>
    <w:basedOn w:val="a"/>
    <w:link w:val="a6"/>
    <w:uiPriority w:val="99"/>
    <w:semiHidden w:val="1"/>
    <w:rsid w:val="00462CB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6" w:customStyle="1">
    <w:name w:val="Текст у виносці Знак"/>
    <w:link w:val="a5"/>
    <w:uiPriority w:val="99"/>
    <w:semiHidden w:val="1"/>
    <w:locked w:val="1"/>
    <w:rsid w:val="00462CBE"/>
    <w:rPr>
      <w:rFonts w:ascii="Segoe UI" w:cs="Segoe UI" w:hAnsi="Segoe UI"/>
      <w:sz w:val="18"/>
      <w:szCs w:val="18"/>
    </w:rPr>
  </w:style>
  <w:style w:type="paragraph" w:styleId="a7">
    <w:name w:val="header"/>
    <w:basedOn w:val="a"/>
    <w:link w:val="a8"/>
    <w:uiPriority w:val="99"/>
    <w:rsid w:val="00D93183"/>
    <w:pPr>
      <w:tabs>
        <w:tab w:val="center" w:pos="4819"/>
        <w:tab w:val="right" w:pos="9639"/>
      </w:tabs>
    </w:pPr>
  </w:style>
  <w:style w:type="character" w:styleId="a8" w:customStyle="1">
    <w:name w:val="Верхній колонтитул Знак"/>
    <w:link w:val="a7"/>
    <w:uiPriority w:val="99"/>
    <w:semiHidden w:val="1"/>
    <w:rsid w:val="003F0D9F"/>
    <w:rPr>
      <w:rFonts w:cs="Calibri"/>
      <w:lang w:eastAsia="en-US" w:val="ru-RU"/>
    </w:rPr>
  </w:style>
  <w:style w:type="character" w:styleId="a9">
    <w:name w:val="page number"/>
    <w:basedOn w:val="a0"/>
    <w:uiPriority w:val="99"/>
    <w:rsid w:val="00D93183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mVLyx+lBaIlAiUtTnmpP+y3lkQ==">AMUW2mW9tuA3hhWY/8ln3p56myRa3pyEmHyQ7Rt/Nga9M9hADkdoO2Cz05NYZX0LOiwxMVQ0RN2YPS9pw415xAqf5DVW40+PVDmY1LfjWd6/Z5LWqT8xcI8=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2021-08-05T10:43:00Z</dcterms:created>
  <dc:creator>Майя Є. Родіонова</dc:creator>
</cp:coreProperties>
</file>