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Звіт</w:t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з наукової роботи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фізичного факультету</w:t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Київського національного університету імені Тараса Шевченка</w:t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у 20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25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році</w:t>
      </w:r>
    </w:p>
    <w:p>
      <w:pPr>
        <w:pStyle w:val="Normal"/>
        <w:shd w:val="clear" w:color="auto" w:fill="FFFFFF"/>
        <w:spacing w:lineRule="auto" w:line="240" w:before="280" w:after="28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hd w:val="clear" w:color="auto" w:fill="FFFFFF"/>
        <w:spacing w:lineRule="auto" w:line="240" w:before="280" w:after="28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м. Київ </w:t>
        <w:tab/>
        <w:tab/>
        <w:tab/>
        <w:tab/>
        <w:tab/>
        <w:tab/>
        <w:t>«____»__</w:t>
      </w:r>
      <w:r>
        <w:rPr>
          <w:rFonts w:eastAsia="Times New Roman" w:cs="Times New Roman" w:ascii="Times New Roman" w:hAnsi="Times New Roman"/>
          <w:sz w:val="28"/>
          <w:szCs w:val="28"/>
        </w:rPr>
        <w:t>________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____20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25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р.</w:t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І. Кадровий потенціал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59" w:leader="none"/>
        </w:tabs>
        <w:spacing w:lineRule="auto" w:line="274" w:before="0" w:after="240"/>
        <w:ind w:left="40" w:righ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Динаміка розвитку кадрового потенціалу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(стисла аналітична довідка) (до 20 рядків)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59" w:leader="none"/>
        </w:tabs>
        <w:spacing w:lineRule="auto" w:line="274" w:before="0" w:after="240"/>
        <w:ind w:left="40" w:righ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Інформація щодо підготовки наукових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кадрів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(наводиться інформація щодо осіб, які у звітний період отримали науковий ступінь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(доктори філософії (кандидатів наук) та  докторів наук за 2025 рік)</w:t>
      </w:r>
    </w:p>
    <w:tbl>
      <w:tblPr>
        <w:tblStyle w:val="ac"/>
        <w:tblW w:w="97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47"/>
        <w:gridCol w:w="1138"/>
        <w:gridCol w:w="1853"/>
        <w:gridCol w:w="1540"/>
        <w:gridCol w:w="1268"/>
        <w:gridCol w:w="1276"/>
        <w:gridCol w:w="2136"/>
      </w:tblGrid>
      <w:tr>
        <w:trPr>
          <w:trHeight w:val="1460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Прізвище, власне ім’я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Посада за основним місцем роботи або місце навчання за денною формою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Назва дисертації /здобутий науковий ступінь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Спеціалізована вчена рада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Дата захисту, номер та дата видачі диплом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Посилання на розміщення публікації (у разі наявності)</w:t>
            </w:r>
          </w:p>
        </w:tc>
      </w:tr>
      <w:tr>
        <w:trPr>
          <w:trHeight w:val="259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ind w:left="4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>
        <w:trPr>
          <w:trHeight w:val="274" w:hRule="atLeast"/>
        </w:trPr>
        <w:tc>
          <w:tcPr>
            <w:tcW w:w="97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2025 рік</w:t>
            </w:r>
          </w:p>
        </w:tc>
      </w:tr>
      <w:tr>
        <w:trPr>
          <w:trHeight w:val="379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379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379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  <w:r>
        <w:br w:type="page"/>
      </w:r>
    </w:p>
    <w:p>
      <w:pPr>
        <w:pStyle w:val="Heading2"/>
        <w:spacing w:before="0" w:after="280"/>
        <w:rPr>
          <w:sz w:val="28"/>
          <w:szCs w:val="28"/>
        </w:rPr>
      </w:pPr>
      <w:r>
        <w:rPr>
          <w:sz w:val="28"/>
          <w:szCs w:val="28"/>
        </w:rPr>
        <w:t>ІІ. Результати наукової та науково-технічної діяльності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кількість, джерела та обсяги їх фінансування (у вигляді таблиці):</w:t>
      </w:r>
    </w:p>
    <w:tbl>
      <w:tblPr>
        <w:tblStyle w:val="ad"/>
        <w:tblW w:w="9335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6638"/>
        <w:gridCol w:w="1149"/>
        <w:gridCol w:w="1548"/>
      </w:tblGrid>
      <w:tr>
        <w:trPr>
          <w:trHeight w:val="227" w:hRule="atLeast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Звітний рік</w:t>
              <w:br/>
              <w:t>2025</w:t>
            </w:r>
          </w:p>
        </w:tc>
      </w:tr>
      <w:tr>
        <w:trPr>
          <w:trHeight w:val="682" w:hRule="atLeast"/>
        </w:trPr>
        <w:tc>
          <w:tcPr>
            <w:tcW w:w="663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2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к-ть,</w:t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2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тис.</w:t>
            </w:r>
          </w:p>
          <w:p>
            <w:pPr>
              <w:pStyle w:val="Normal"/>
              <w:spacing w:lineRule="auto" w:line="240" w:before="0" w:after="0"/>
              <w:ind w:left="-12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грн</w:t>
            </w:r>
          </w:p>
        </w:tc>
      </w:tr>
      <w:tr>
        <w:trPr>
          <w:trHeight w:val="444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27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3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- фундаментальні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27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3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27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3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27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Спеціальний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27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30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- державні гранти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31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30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27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308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hd w:val="clear" w:color="auto" w:fill="FFFFFF"/>
              <w:tabs>
                <w:tab w:val="clear" w:pos="720"/>
                <w:tab w:val="left" w:pos="142" w:leader="none"/>
              </w:tabs>
              <w:spacing w:lineRule="auto" w:line="288" w:before="0" w:after="160"/>
              <w:jc w:val="both"/>
              <w:rPr>
                <w:rFonts w:ascii="Times New Roman" w:hAnsi="Times New Roman"/>
                <w:color w:val="FF0000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FF0000"/>
                <w:shd w:fill="auto" w:val="clear"/>
                <w:lang w:val="uk-UA"/>
              </w:rPr>
              <w:t>108,18294</w:t>
            </w:r>
          </w:p>
        </w:tc>
      </w:tr>
      <w:tr>
        <w:trPr>
          <w:trHeight w:val="227" w:hRule="atLeast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30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40" w:type="dxa"/>
              <w:right w:w="40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-121" w:right="-18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а) про основні наукові результати НДР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за усіма завершеними у 2025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році науковими дослідженнями і розробками, які виконувались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 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i/>
          <w:i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color w:val="5B9BD5"/>
          <w:sz w:val="24"/>
          <w:szCs w:val="24"/>
        </w:rPr>
        <w:t>За зразком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Назва роботи: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highlight w:val="white"/>
        </w:rPr>
        <w:t>Вид</w:t>
      </w:r>
      <w:r>
        <w:rPr>
          <w:rFonts w:eastAsia="Times New Roman" w:cs="Times New Roman" w:ascii="Times New Roman" w:hAnsi="Times New Roman"/>
          <w:color w:val="000000"/>
          <w:highlight w:val="white"/>
        </w:rPr>
        <w:t xml:space="preserve">: </w:t>
      </w:r>
      <w:r>
        <w:rPr>
          <w:rFonts w:eastAsia="Times New Roman" w:cs="Times New Roman" w:ascii="Times New Roman" w:hAnsi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i/>
          <w:i/>
          <w:color w:val="808080"/>
          <w:highlight w:val="white"/>
        </w:rPr>
      </w:pPr>
      <w:r>
        <w:rPr>
          <w:rFonts w:eastAsia="Times New Roman" w:cs="Times New Roman" w:ascii="Times New Roman" w:hAnsi="Times New Roman"/>
          <w:b/>
          <w:color w:val="000000"/>
          <w:highlight w:val="white"/>
        </w:rPr>
        <w:t xml:space="preserve">Науковий керівник: </w:t>
      </w:r>
      <w:r>
        <w:rPr>
          <w:rFonts w:eastAsia="Times New Roman" w:cs="Times New Roman" w:ascii="Times New Roman" w:hAnsi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Обсяг фінансування (тис. грн): </w:t>
      </w:r>
      <w:r>
        <w:rPr>
          <w:rFonts w:eastAsia="Times New Roman" w:cs="Times New Roman" w:ascii="Times New Roman" w:hAnsi="Times New Roman"/>
          <w:color w:val="000000"/>
        </w:rPr>
        <w:t>за весь період –</w:t>
      </w:r>
      <w:r>
        <w:rPr>
          <w:rFonts w:eastAsia="Times New Roman" w:cs="Times New Roman" w:ascii="Times New Roman" w:hAnsi="Times New Roman"/>
          <w:color w:val="000000"/>
          <w:u w:val="single"/>
        </w:rPr>
        <w:t>_____</w:t>
      </w:r>
      <w:r>
        <w:rPr>
          <w:rFonts w:eastAsia="Times New Roman" w:cs="Times New Roman" w:ascii="Times New Roman" w:hAnsi="Times New Roman"/>
          <w:color w:val="000000"/>
        </w:rPr>
        <w:t xml:space="preserve"> тис. грн, за </w:t>
      </w:r>
      <w:r>
        <w:rPr>
          <w:rFonts w:eastAsia="Times New Roman" w:cs="Times New Roman" w:ascii="Times New Roman" w:hAnsi="Times New Roman"/>
          <w:color w:val="000000"/>
          <w:highlight w:val="white"/>
        </w:rPr>
        <w:t>2025 р</w:t>
      </w:r>
      <w:r>
        <w:rPr>
          <w:rFonts w:eastAsia="Times New Roman" w:cs="Times New Roman" w:ascii="Times New Roman" w:hAnsi="Times New Roman"/>
          <w:color w:val="000000"/>
        </w:rPr>
        <w:t>ік –</w:t>
      </w:r>
      <w:r>
        <w:rPr>
          <w:rFonts w:eastAsia="Times New Roman" w:cs="Times New Roman" w:ascii="Times New Roman" w:hAnsi="Times New Roman"/>
          <w:color w:val="000000"/>
          <w:u w:val="single"/>
        </w:rPr>
        <w:t xml:space="preserve"> _____</w:t>
      </w:r>
      <w:r>
        <w:rPr>
          <w:rFonts w:eastAsia="Times New Roman" w:cs="Times New Roman" w:ascii="Times New Roman" w:hAnsi="Times New Roman"/>
          <w:color w:val="000000"/>
        </w:rPr>
        <w:t xml:space="preserve"> тис. грн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Джерело фінансування: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eastAsia="Times New Roman" w:cs="Times New Roman" w:ascii="Times New Roman" w:hAnsi="Times New Roman"/>
          <w:color w:val="000000"/>
          <w:highlight w:val="white"/>
        </w:rPr>
        <w:t>: 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u w:val="single"/>
        </w:rPr>
        <w:t>за усіма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науковими дослідженнями і розробками, виконання яких розпочалося, або продовжилося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у 2025 році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i/>
          <w:i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color w:val="5B9BD5"/>
          <w:sz w:val="24"/>
          <w:szCs w:val="24"/>
        </w:rPr>
        <w:t>За зразком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Назва роботи: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highlight w:val="white"/>
        </w:rPr>
        <w:t>Вид</w:t>
      </w:r>
      <w:r>
        <w:rPr>
          <w:rFonts w:eastAsia="Times New Roman" w:cs="Times New Roman" w:ascii="Times New Roman" w:hAnsi="Times New Roman"/>
          <w:color w:val="000000"/>
          <w:highlight w:val="white"/>
        </w:rPr>
        <w:t xml:space="preserve">: </w:t>
      </w:r>
      <w:r>
        <w:rPr>
          <w:rFonts w:eastAsia="Times New Roman" w:cs="Times New Roman" w:ascii="Times New Roman" w:hAnsi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i/>
          <w:i/>
          <w:color w:val="808080"/>
          <w:highlight w:val="white"/>
        </w:rPr>
      </w:pPr>
      <w:r>
        <w:rPr>
          <w:rFonts w:eastAsia="Times New Roman" w:cs="Times New Roman" w:ascii="Times New Roman" w:hAnsi="Times New Roman"/>
          <w:b/>
          <w:color w:val="000000"/>
          <w:highlight w:val="white"/>
        </w:rPr>
        <w:t xml:space="preserve">Науковий керівник: </w:t>
      </w:r>
      <w:r>
        <w:rPr>
          <w:rFonts w:eastAsia="Times New Roman" w:cs="Times New Roman" w:ascii="Times New Roman" w:hAnsi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Обсяг фінансування (тис. грн): </w:t>
      </w:r>
      <w:r>
        <w:rPr>
          <w:rFonts w:eastAsia="Times New Roman" w:cs="Times New Roman" w:ascii="Times New Roman" w:hAnsi="Times New Roman"/>
          <w:color w:val="000000"/>
        </w:rPr>
        <w:t>за весь період –</w:t>
      </w:r>
      <w:r>
        <w:rPr>
          <w:rFonts w:eastAsia="Times New Roman" w:cs="Times New Roman" w:ascii="Times New Roman" w:hAnsi="Times New Roman"/>
          <w:color w:val="000000"/>
          <w:u w:val="single"/>
        </w:rPr>
        <w:t>_____</w:t>
      </w:r>
      <w:r>
        <w:rPr>
          <w:rFonts w:eastAsia="Times New Roman" w:cs="Times New Roman" w:ascii="Times New Roman" w:hAnsi="Times New Roman"/>
          <w:color w:val="000000"/>
        </w:rPr>
        <w:t xml:space="preserve"> тис. грн, за </w:t>
      </w:r>
      <w:r>
        <w:rPr>
          <w:rFonts w:eastAsia="Times New Roman" w:cs="Times New Roman" w:ascii="Times New Roman" w:hAnsi="Times New Roman"/>
          <w:color w:val="000000"/>
          <w:highlight w:val="white"/>
        </w:rPr>
        <w:t>2025 р</w:t>
      </w:r>
      <w:r>
        <w:rPr>
          <w:rFonts w:eastAsia="Times New Roman" w:cs="Times New Roman" w:ascii="Times New Roman" w:hAnsi="Times New Roman"/>
          <w:color w:val="000000"/>
        </w:rPr>
        <w:t>ік –</w:t>
      </w:r>
      <w:r>
        <w:rPr>
          <w:rFonts w:eastAsia="Times New Roman" w:cs="Times New Roman" w:ascii="Times New Roman" w:hAnsi="Times New Roman"/>
          <w:color w:val="000000"/>
          <w:u w:val="single"/>
        </w:rPr>
        <w:t xml:space="preserve"> _____</w:t>
      </w:r>
      <w:r>
        <w:rPr>
          <w:rFonts w:eastAsia="Times New Roman" w:cs="Times New Roman" w:ascii="Times New Roman" w:hAnsi="Times New Roman"/>
          <w:color w:val="000000"/>
        </w:rPr>
        <w:t xml:space="preserve"> тис. грн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Джерело фінансування: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eastAsia="Times New Roman" w:cs="Times New Roman" w:ascii="Times New Roman" w:hAnsi="Times New Roman"/>
          <w:color w:val="000000"/>
          <w:highlight w:val="white"/>
        </w:rPr>
        <w:t>: </w:t>
      </w:r>
    </w:p>
    <w:p>
      <w:pPr>
        <w:pStyle w:val="Normal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IІІ. Конкурсне фінансування проєктів. Кількість поданих заявок на: – державні наукові та міжнародні гранти, проєкти </w:t>
      </w:r>
    </w:p>
    <w:p>
      <w:pPr>
        <w:pStyle w:val="Normal"/>
        <w:widowControl w:val="false"/>
        <w:tabs>
          <w:tab w:val="clear" w:pos="720"/>
          <w:tab w:val="left" w:pos="598" w:leader="none"/>
        </w:tabs>
        <w:spacing w:lineRule="auto" w:line="269" w:before="193" w:after="0"/>
        <w:ind w:right="8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Інформація щодо участі у конкурсних відборах проєктів з виконання наукових досліджень і розробок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(заявки на гранти (</w:t>
      </w:r>
      <w:r>
        <w:rPr>
          <w:rFonts w:eastAsia="Times New Roman" w:cs="Times New Roman" w:ascii="Times New Roman" w:hAnsi="Times New Roman"/>
          <w:sz w:val="24"/>
          <w:szCs w:val="24"/>
        </w:rPr>
        <w:t>проєкт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и) за пріоритетними науковими програмами (Горизонт 2020, Горизонт Європа, НАТО, УНТЦ, Євратом); заявки на гранти (проєкти) на загальнодержавні конкурсні відбори (конкурси Національного фонду досліджень України, Міністерства освіти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і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науки України, Українського фонду стартапів, Українського культурного фонду); заявки на гранти (</w:t>
      </w:r>
      <w:r>
        <w:rPr>
          <w:rFonts w:eastAsia="Times New Roman" w:cs="Times New Roman" w:ascii="Times New Roman" w:hAnsi="Times New Roman"/>
          <w:sz w:val="24"/>
          <w:szCs w:val="24"/>
        </w:rPr>
        <w:t>проєкт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и) на інші міжнародні грантові програми, зокрема ті, які мають наукову складову (Erasmus+, Creative Europe та інші наукові грантові програми країн ОЕСР) (за звітний 2024 р</w:t>
      </w:r>
      <w:r>
        <w:rPr>
          <w:rFonts w:eastAsia="Times New Roman" w:cs="Times New Roman" w:ascii="Times New Roman" w:hAnsi="Times New Roman"/>
          <w:sz w:val="24"/>
          <w:szCs w:val="24"/>
        </w:rPr>
        <w:t>ік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), відповідно до таблиці:</w:t>
      </w:r>
    </w:p>
    <w:p>
      <w:pPr>
        <w:pStyle w:val="Normal"/>
        <w:widowControl w:val="false"/>
        <w:tabs>
          <w:tab w:val="clear" w:pos="720"/>
          <w:tab w:val="left" w:pos="598" w:leader="none"/>
        </w:tabs>
        <w:spacing w:lineRule="auto" w:line="269" w:before="193" w:after="0"/>
        <w:ind w:right="8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tbl>
      <w:tblPr>
        <w:tblStyle w:val="ae"/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47"/>
        <w:gridCol w:w="1848"/>
        <w:gridCol w:w="1847"/>
        <w:gridCol w:w="1570"/>
        <w:gridCol w:w="1695"/>
        <w:gridCol w:w="1561"/>
        <w:gridCol w:w="849"/>
      </w:tblGrid>
      <w:tr>
        <w:trPr>
          <w:trHeight w:val="1117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Г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рантодавець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Назва заявки (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highlight w:val="white"/>
              </w:rPr>
              <w:t>проєкт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у)/ Номер заявки (проєкту)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Заявник (координатор проєкту)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Обсяг отриманого фінансування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(в тис. грн)*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Керівник проєкту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Рік подання заявки</w:t>
            </w:r>
          </w:p>
        </w:tc>
      </w:tr>
      <w:tr>
        <w:trPr>
          <w:trHeight w:val="298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180" w:before="0" w:after="0"/>
              <w:ind w:left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199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18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18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18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>
        <w:trPr>
          <w:trHeight w:val="643" w:hRule="atLeast"/>
        </w:trPr>
        <w:tc>
          <w:tcPr>
            <w:tcW w:w="9917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и) за пріоритетними науковими програмами (Горизонт 2020, Горизонт Європа, НАТО, УНТЦ, Євратом)</w:t>
            </w:r>
          </w:p>
        </w:tc>
      </w:tr>
      <w:tr>
        <w:trPr>
          <w:trHeight w:val="743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991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Заявки на гранти (проєкти) на загальнодержавні конкурсні відбори (конкурси Національного фонду досліджень України, Міністерства освіти і науки України, Українського фонду стартанів, Українського культурного фонду)</w:t>
            </w:r>
          </w:p>
        </w:tc>
      </w:tr>
      <w:tr>
        <w:trPr>
          <w:trHeight w:val="20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991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  <w:highlight w:val="white"/>
              </w:rPr>
              <w:t>и) на інші міжнародні грантові програми, зокрема ті, які мають наукову складову (Erasmus+, Creative Europe та інші наукові грантові програми країн ОЕСР)</w:t>
            </w:r>
          </w:p>
        </w:tc>
      </w:tr>
      <w:tr>
        <w:trPr>
          <w:trHeight w:val="20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0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tabs>
          <w:tab w:val="clear" w:pos="720"/>
          <w:tab w:val="left" w:pos="598" w:leader="none"/>
        </w:tabs>
        <w:spacing w:lineRule="auto" w:line="269" w:before="193" w:after="0"/>
        <w:ind w:right="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*Зазначається у разі, якщо ВІДПОВІДНИЙ проєкт визначений переможцем конкурсного відбору та профінансований</w:t>
      </w:r>
    </w:p>
    <w:p>
      <w:pPr>
        <w:pStyle w:val="Normal"/>
        <w:widowControl w:val="false"/>
        <w:tabs>
          <w:tab w:val="clear" w:pos="720"/>
          <w:tab w:val="left" w:pos="598" w:leader="none"/>
        </w:tabs>
        <w:spacing w:lineRule="auto" w:line="269" w:before="193" w:after="0"/>
        <w:ind w:right="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IV. Експертна діяльність дослідників</w:t>
      </w:r>
    </w:p>
    <w:p>
      <w:pPr>
        <w:pStyle w:val="Normal"/>
        <w:widowControl w:val="false"/>
        <w:tabs>
          <w:tab w:val="clear" w:pos="720"/>
          <w:tab w:val="left" w:pos="598" w:leader="none"/>
        </w:tabs>
        <w:spacing w:lineRule="auto" w:line="269" w:before="193" w:after="0"/>
        <w:ind w:right="8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r>
        <w:rPr>
          <w:rFonts w:eastAsia="Times New Roman" w:cs="Times New Roman" w:ascii="Times New Roman" w:hAnsi="Times New Roman"/>
          <w:sz w:val="24"/>
          <w:szCs w:val="24"/>
        </w:rPr>
        <w:t>проєкт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ів міжнародних конкурсів (Горизонт 2020, Горизонт Європа, Євратом,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Erasmus+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) та загальнодержавних конкурсних відборах </w:t>
      </w:r>
      <w:r>
        <w:rPr>
          <w:rFonts w:eastAsia="Times New Roman" w:cs="Times New Roman" w:ascii="Times New Roman" w:hAnsi="Times New Roman"/>
          <w:sz w:val="24"/>
          <w:szCs w:val="24"/>
        </w:rPr>
        <w:t>проєкт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ів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спеціалізованій вченій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раді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за звітний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2025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"/>
        <w:tblW w:w="97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38"/>
        <w:gridCol w:w="1848"/>
        <w:gridCol w:w="1414"/>
        <w:gridCol w:w="1980"/>
        <w:gridCol w:w="1785"/>
        <w:gridCol w:w="2170"/>
      </w:tblGrid>
      <w:tr>
        <w:trPr>
          <w:trHeight w:val="794" w:hRule="atLeast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№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з/п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Назва конкурсного відбору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>
        <w:trPr>
          <w:trHeight w:val="293" w:hRule="atLeast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6</w:t>
            </w:r>
          </w:p>
        </w:tc>
      </w:tr>
      <w:tr>
        <w:trPr>
          <w:trHeight w:val="317" w:hRule="atLeast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>
      <w:pPr>
        <w:pStyle w:val="Normal"/>
        <w:widowControl w:val="false"/>
        <w:tabs>
          <w:tab w:val="clear" w:pos="720"/>
          <w:tab w:val="left" w:pos="549" w:leader="none"/>
        </w:tabs>
        <w:spacing w:lineRule="auto" w:line="274" w:before="0" w:after="0"/>
        <w:ind w:right="4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Список наукових праць (монографій, які індексуються у Scopus та/або Web of Science (далі </w:t>
      </w:r>
      <w:r>
        <w:rPr>
          <w:rFonts w:eastAsia="Times New Roman" w:cs="Times New Roman" w:ascii="Times New Roman" w:hAnsi="Times New Roman"/>
          <w:sz w:val="24"/>
          <w:szCs w:val="24"/>
        </w:rPr>
        <w:t>–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WoS); монографій, які опубліковані за кордоном мовами країн ОЕСР та/або ЄС або опубліковані в Україні); розділів монографій, які індексуються у Scopus та/або WoS; статей, які індексуються у Scopus та/або WoS в наукових журналах з квартилями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даних, зокрема FAIR-даних, які мають DОІ) (до 10 одиниць кожної із зазначених позицій за звітний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2025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0"/>
        <w:tblW w:w="97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41"/>
        <w:gridCol w:w="1143"/>
        <w:gridCol w:w="1555"/>
        <w:gridCol w:w="1837"/>
        <w:gridCol w:w="2122"/>
        <w:gridCol w:w="2549"/>
      </w:tblGrid>
      <w:tr>
        <w:trPr>
          <w:trHeight w:val="1122" w:hRule="atLeast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50" w:before="0" w:after="0"/>
              <w:ind w:left="18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>
            <w:pPr>
              <w:pStyle w:val="Normal"/>
              <w:widowControl w:val="false"/>
              <w:spacing w:lineRule="auto" w:line="250" w:before="0" w:after="0"/>
              <w:ind w:left="18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21" w:before="0" w:after="6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50" w:before="0" w:after="0"/>
              <w:ind w:firstLine="24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  <w:br/>
              <w:t>(так / ні)</w:t>
            </w:r>
          </w:p>
        </w:tc>
      </w:tr>
      <w:tr>
        <w:trPr>
          <w:trHeight w:val="333" w:hRule="atLeast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ind w:left="18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21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>
        <w:trPr>
          <w:trHeight w:val="317" w:hRule="atLeast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  <w:t>1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  <w:t>A. Nadtochiy, A. Podolian, O. Korotchenkov, O. Oberemok, O. Kosulya, B. Romanyuk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A933"/>
                <w:sz w:val="20"/>
                <w:szCs w:val="20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A933"/>
                <w:sz w:val="20"/>
                <w:szCs w:val="20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  <w:t>A. Nadtochiy, A. Podolian, O. Korotchenkov, O. Oberemok, O. Dubikovskyi, O. Gudymenko, O. Kosulya, B. Romanyuk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  <w:t>Ultrasonically Assisted Fabrication of Graphene/ZnO Nanocomposites with Accelerated Ultraviolet Photoresponse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A933"/>
                <w:sz w:val="20"/>
                <w:szCs w:val="20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A933"/>
                <w:sz w:val="20"/>
                <w:szCs w:val="20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A933"/>
                <w:sz w:val="20"/>
                <w:szCs w:val="20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A933"/>
                <w:sz w:val="20"/>
                <w:szCs w:val="20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00A933"/>
                <w:sz w:val="20"/>
                <w:szCs w:val="20"/>
                <w:lang w:eastAsia="uk-U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bCs/>
                <w:color w:val="00A933"/>
                <w:sz w:val="20"/>
                <w:szCs w:val="20"/>
                <w:lang w:eastAsia="uk-UA"/>
              </w:rPr>
              <w:t>Influence of Hf- and multi-rare earth introduction on the photo-transport properties of ZnO thin films deposited on Si by magnetron sputtering and post-annealed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  <w:t>Journal of Nano- and Electronic Physics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  <w:t>Journal of Applied Physics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  <w:t>Volume 17,  Number 1, Year 2025</w:t>
            </w:r>
          </w:p>
          <w:p>
            <w:pPr>
              <w:pStyle w:val="Normal"/>
              <w:rPr/>
            </w:pPr>
            <w:hyperlink r:id="rId2">
              <w:r>
                <w:rPr>
                  <w:rStyle w:val="Hyperlink"/>
                  <w:rFonts w:eastAsia="Times New Roman" w:cs="Times New Roman" w:ascii="Times New Roman" w:hAnsi="Times New Roman"/>
                  <w:color w:val="00A933"/>
                  <w:sz w:val="20"/>
                  <w:szCs w:val="20"/>
                </w:rPr>
                <w:t>https://doi.org/10.21272/jnep.17(1).01028</w:t>
              </w:r>
            </w:hyperlink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  <w:p>
            <w:pPr>
              <w:pStyle w:val="Normal"/>
              <w:rPr>
                <w:color w:val="00A933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  <w:t>Volume 138, Issue 20, 2025</w:t>
            </w:r>
          </w:p>
          <w:p>
            <w:pPr>
              <w:pStyle w:val="Normal"/>
              <w:rPr/>
            </w:pPr>
            <w:hyperlink r:id="rId3">
              <w:r>
                <w:rPr>
                  <w:rStyle w:val="Hyperlink"/>
                  <w:rFonts w:eastAsia="Times New Roman" w:cs="Times New Roman" w:ascii="Times New Roman" w:hAnsi="Times New Roman"/>
                  <w:color w:val="00A933"/>
                  <w:sz w:val="20"/>
                  <w:szCs w:val="20"/>
                </w:rPr>
                <w:t>https://doi.org/10.1063/5.0294369</w:t>
              </w:r>
            </w:hyperlink>
          </w:p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A933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A933"/>
                <w:sz w:val="20"/>
                <w:szCs w:val="20"/>
              </w:rPr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</w:rPr>
            </w:pPr>
            <w:r>
              <w:rPr>
                <w:color w:val="00A933"/>
                <w:highlight w:val="white"/>
              </w:rPr>
              <w:t>Так</w:t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  <w:highlight w:val="white"/>
              </w:rPr>
            </w:pPr>
            <w:r>
              <w:rPr>
                <w:color w:val="00A933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50" w:before="0" w:after="0"/>
              <w:jc w:val="center"/>
              <w:rPr>
                <w:color w:val="00A933"/>
              </w:rPr>
            </w:pPr>
            <w:r>
              <w:rPr>
                <w:color w:val="00A933"/>
                <w:highlight w:val="white"/>
              </w:rPr>
              <w:t>так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before="280" w:after="280"/>
        <w:rPr>
          <w:b w:val="false"/>
          <w:sz w:val="24"/>
          <w:szCs w:val="24"/>
        </w:rPr>
      </w:pPr>
      <w:r>
        <w:rPr>
          <w:sz w:val="28"/>
          <w:szCs w:val="28"/>
        </w:rPr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</w:p>
    <w:tbl>
      <w:tblPr>
        <w:tblStyle w:val="af1"/>
        <w:tblW w:w="9360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688"/>
        <w:gridCol w:w="2672"/>
        <w:gridCol w:w="2880"/>
        <w:gridCol w:w="3119"/>
      </w:tblGrid>
      <w:tr>
        <w:trPr/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Рік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Кількість молодих учених, які працюють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0"/>
                <w:szCs w:val="20"/>
              </w:rPr>
              <w:t xml:space="preserve">факультеті/інституті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0"/>
                <w:szCs w:val="20"/>
              </w:rPr>
              <w:t>факультеті/інституті установі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після  закінчення аспірантури</w:t>
            </w:r>
          </w:p>
        </w:tc>
      </w:tr>
      <w:tr>
        <w:trPr/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____%</w:t>
            </w:r>
          </w:p>
        </w:tc>
      </w:tr>
      <w:tr>
        <w:trPr/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Heading2"/>
        <w:spacing w:before="280" w:after="2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VII. Дослідницька інфраструктура </w:t>
      </w:r>
      <w:r>
        <w:rPr>
          <w:b w:val="false"/>
          <w:i/>
          <w:color w:val="000000"/>
          <w:sz w:val="28"/>
          <w:szCs w:val="28"/>
        </w:rPr>
        <w:t>(науково-дослідні лабораторії (НДЛ), науково-дослідні сектори, центри колективного користування науковим обладнанням (ЦККНО) тощо)</w:t>
      </w:r>
      <w:r>
        <w:rPr>
          <w:color w:val="000000"/>
          <w:sz w:val="28"/>
          <w:szCs w:val="28"/>
        </w:rPr>
        <w:t>, їх напрями діяльності, робота із замовниками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Довідка у текстовому форматі обсягом до 20 рядків зазначається(ються) назва підрозділу(ів), джерело(а) його фінансування, стисло описується його діяльність та результативність роботи за кожною структурною одиницею)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color w:val="000000"/>
          <w:sz w:val="28"/>
          <w:szCs w:val="28"/>
        </w:rPr>
        <w:t>VІІІ. Інноваційна інфраструктура (постійно діючі стартап школи, технологічні парки, наукові парки, бізнес-інкубатори, акселератори, центри трансферу технологій, патентно-ліцензійні підрозділи  тощо), їх напрями діяльності, робота із замовниками 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Довідка у текстовому форматі обсягом до 20 рядків зазначається(ються) назва підрозділу(ів), джерело(а) його фінансування, стисло описується його діяльність та результативність роботи за кожною структурною одиницею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>
      <w:pPr>
        <w:pStyle w:val="Normal"/>
        <w:numPr>
          <w:ilvl w:val="0"/>
          <w:numId w:val="2"/>
        </w:numPr>
        <w:spacing w:lineRule="auto" w:line="240" w:before="0" w:after="240"/>
        <w:ind w:hanging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Описати наукове та науково-технічне співробітництво із закордонними організаціями. Навести дані щодо тематики співробітництва із зарубіжними партнерами навести інформацію щодо країн з якими здійснюється міжнародне науково-технічне співробітництво (до 10 позицій за звітний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2025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рік), відповідно до таблиці</w:t>
      </w:r>
    </w:p>
    <w:tbl>
      <w:tblPr>
        <w:tblStyle w:val="af2"/>
        <w:tblW w:w="97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2"/>
        <w:gridCol w:w="1134"/>
        <w:gridCol w:w="1311"/>
        <w:gridCol w:w="1665"/>
        <w:gridCol w:w="1986"/>
        <w:gridCol w:w="1701"/>
        <w:gridCol w:w="1416"/>
      </w:tblGrid>
      <w:tr>
        <w:trPr/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0" w:before="0" w:after="0"/>
              <w:ind w:left="18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Країна-партнер </w:t>
              <w:br/>
              <w:t>(в алфавітному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Установа-партнер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Тема наукового гранту/проєкту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Програма або проєкт в рамках якого здійснюється співробітництво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Документ, відповідно до якого здійснюється співробітництво, термін його дії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Практичні результати від співробітництва</w:t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115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numPr>
          <w:ilvl w:val="0"/>
          <w:numId w:val="2"/>
        </w:numPr>
        <w:spacing w:lineRule="auto" w:line="240" w:before="0" w:after="240"/>
        <w:ind w:hanging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кордоном; кількість міжнародних науково- практичних семінарів, конференцій, інших заходів проведених підрозділом.</w:t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Х.</w:t>
      </w:r>
      <w:r>
        <w:rPr>
          <w:rFonts w:eastAsia="Times New Roman" w:cs="Times New Roman" w:ascii="Times New Roman" w:hAnsi="Times New Roman"/>
          <w:sz w:val="24"/>
          <w:szCs w:val="24"/>
        </w:rPr>
        <w:t> 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Прикладні дослідження та/або науково-технічні (експериментальні) розробки, які впроваджено у 2025 році за межами </w:t>
      </w: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закладу вищої освіти / наукової установи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(відповідно до таблиці, наводяться лише ті, на які є акти впровадження або договори): </w:t>
      </w:r>
    </w:p>
    <w:tbl>
      <w:tblPr>
        <w:tblStyle w:val="af3"/>
        <w:tblW w:w="9345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483"/>
        <w:gridCol w:w="1400"/>
        <w:gridCol w:w="1270"/>
        <w:gridCol w:w="2867"/>
        <w:gridCol w:w="1564"/>
        <w:gridCol w:w="1760"/>
      </w:tblGrid>
      <w:tr>
        <w:trPr/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з/п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Назва прикладного дослідження/розробки, автор(и) та рік завершення,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прикладне дослідження чи розробка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Рівень* наукового результату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firstLine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Суб'єкт  впровадження (назва, підпорядкованість,юридична адреса)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Дата акта впровадження (реквізити логовору)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Обсяг отриманих коштів від суб’єкту впровадження або інший практичний результат впровадження</w:t>
            </w:r>
          </w:p>
        </w:tc>
      </w:tr>
      <w:tr>
        <w:trPr/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6</w:t>
            </w:r>
          </w:p>
        </w:tc>
      </w:tr>
      <w:tr>
        <w:trPr>
          <w:trHeight w:val="372" w:hRule="atLeast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344" w:type="dxa"/>
            <w:gridSpan w:val="6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*</w:t>
            </w:r>
            <w:r>
              <w:rPr>
                <w:rFonts w:eastAsia="Times New Roman" w:cs="Times New Roman" w:ascii="Times New Roman" w:hAnsi="Times New Roman"/>
                <w:sz w:val="11"/>
                <w:szCs w:val="11"/>
                <w:vertAlign w:val="superscript"/>
              </w:rPr>
              <w:t>)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Наводяться важливі показники, які свідчать про рівень наукового результату; переваги над аналогами; економічний, соціальний ефект тощо.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before="280" w:after="280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Навести дані про закупівлю/отримання за звітний 2025 р</w:t>
      </w:r>
      <w:r>
        <w:rPr>
          <w:rFonts w:eastAsia="Times New Roman" w:cs="Times New Roman" w:ascii="Times New Roman" w:hAnsi="Times New Roman"/>
          <w:sz w:val="24"/>
          <w:szCs w:val="24"/>
        </w:rPr>
        <w:t>ік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f4"/>
        <w:tblW w:w="9344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470"/>
        <w:gridCol w:w="3193"/>
        <w:gridCol w:w="1689"/>
        <w:gridCol w:w="2979"/>
        <w:gridCol w:w="1013"/>
      </w:tblGrid>
      <w:tr>
        <w:trPr/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№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з/п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Назва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0"/>
                <w:szCs w:val="20"/>
              </w:rPr>
              <w:t>приладу/обладнання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(українською мовою та мовою оригіналу), його марка, рік випуску, фірма-виробник, країна походження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Функціональне призначення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Науковий(і) напрям(и) та структурний(і) підрозділ(и) для якого (яких) здійснено закупівлю </w:t>
            </w:r>
            <w:r>
              <w:rPr>
                <w:rFonts w:eastAsia="Times New Roman" w:cs="Times New Roman" w:ascii="Times New Roman" w:hAnsi="Times New Roman"/>
                <w:i/>
                <w:color w:val="000000"/>
                <w:sz w:val="20"/>
                <w:szCs w:val="20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right="-10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Вартість,</w:t>
              <w:br/>
              <w:t>тис. грн</w:t>
            </w:r>
          </w:p>
        </w:tc>
      </w:tr>
      <w:tr>
        <w:trPr/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highlight w:val="gree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highlight w:val="green"/>
              </w:rPr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highlight w:val="yellow"/>
              </w:rPr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W w:w="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highlight w:val="gree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highlight w:val="green"/>
              </w:rPr>
            </w:r>
          </w:p>
        </w:tc>
        <w:tc>
          <w:tcPr>
            <w:tcW w:w="3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highlight w:val="yellow"/>
              </w:rPr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20" w:type="dxa"/>
              <w:right w:w="120" w:type="dxa"/>
            </w:tcMar>
            <w:vAlign w:val="bottom"/>
          </w:tcPr>
          <w:p>
            <w:pPr>
              <w:pStyle w:val="Normal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before="280" w:after="2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XІІ. Перспективи розвитку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Визначити та обґрунтувати шляхи і перспективи розвитку підрозділу на підставі аналізу кількісних та якісних характеристик науково-педагогічного та наукового потенціалу, а також</w:t>
      </w:r>
      <w:r>
        <w:rPr>
          <w:rFonts w:eastAsia="Times New Roman" w:cs="Times New Roman" w:ascii="Times New Roman" w:hAnsi="Times New Roman"/>
          <w:color w:val="000000"/>
          <w:sz w:val="18"/>
          <w:szCs w:val="1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прогнозного впливу соціально-економічного розвитку на регіональному і національному рівнях, впливу інтеграції до європейського дослідницького простору (до 50 рядків).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before="280" w:after="280"/>
        <w:rPr>
          <w:sz w:val="24"/>
          <w:szCs w:val="24"/>
        </w:rPr>
      </w:pPr>
      <w:r>
        <w:rPr>
          <w:color w:val="000000"/>
          <w:sz w:val="28"/>
          <w:szCs w:val="28"/>
        </w:rPr>
        <w:t>XІІІ. Заключна частина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</w:t>
        <w:tab/>
        <w:t>Надати інформація щодо сильних/слабких сторін діяльності підрозділу, тенденцій розвитку та основних труднощів та недоліків в роботі підрозділу впродовж звітного періоду; щодо налагодження більш ефективної роботи в організації цих процесів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</w:t>
        <w:tab/>
        <w:t>Зауваження та пропозиції щодо забезпечення організації та координації наукового процесу в Університеті, зокрема в апараті НДЧ.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Заступник декана з наукової роботи</w:t>
        <w:tab/>
        <w:tab/>
        <w:tab/>
        <w:t xml:space="preserve"> Ім’я та ПРІЗВИЩЕ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Декан/директор факультету/ННІ </w:t>
        <w:tab/>
        <w:tab/>
        <w:tab/>
        <w:tab/>
        <w:t xml:space="preserve"> Ім’я та ПРІЗВИЩЕ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libri Light">
    <w:charset w:val="01"/>
    <w:family w:val="swiss"/>
    <w:pitch w:val="variable"/>
  </w:font>
  <w:font w:name="Segoe UI">
    <w:charset w:val="01"/>
    <w:family w:val="swiss"/>
    <w:pitch w:val="variable"/>
  </w:font>
  <w:font w:name="Candar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>
        <w:sz w:val="2"/>
        <w:szCs w:val="2"/>
      </w:rPr>
    </w:pPr>
    <w:r>
      <w:rPr>
        <w:sz w:val="2"/>
        <w:szCs w:val="2"/>
      </w:rPr>
      <mc:AlternateContent>
        <mc:Choice Requires="wps">
          <w:drawing>
            <wp:anchor behindDoc="1" distT="0" distB="0" distL="0" distR="0" simplePos="0" locked="0" layoutInCell="0" allowOverlap="1" relativeHeight="17" wp14:anchorId="2C5D12E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0485" cy="162560"/>
              <wp:effectExtent l="0" t="0" r="0" b="0"/>
              <wp:wrapNone/>
              <wp:docPr id="1" name="Прямокутник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560" cy="162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8"/>
                            </w:rPr>
                            <w:t xml:space="preserve">PAGE \* MERGEFORMAT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кутник 4" path="m0,0l-2147483645,0l-2147483645,-2147483646l0,-2147483646xe" stroked="f" o:allowincell="f" style="position:absolute;margin-left:0pt;margin-top:0pt;width:5.5pt;height:12.75pt;mso-wrap-style:square;v-text-anchor:top;mso-position-horizontal-relative:page;mso-position-vertical-relative:page" wp14:anchorId="2C5D12E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rPr/>
                    </w:pP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8"/>
                      </w:rPr>
                      <w:t xml:space="preserve"> </w:t>
                    </w: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8"/>
                      </w:rPr>
                      <w:t xml:space="preserve">PAGE \* MERGEFORMAT </w:t>
                    </w: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1"/>
                        <w:highlight w:val="white"/>
                      </w:rPr>
                      <w:t>8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>
        <w:sz w:val="2"/>
        <w:szCs w:val="2"/>
      </w:rPr>
    </w:pPr>
    <w:r>
      <w:rPr>
        <w:sz w:val="2"/>
        <w:szCs w:val="2"/>
      </w:rPr>
      <mc:AlternateContent>
        <mc:Choice Requires="wps">
          <w:drawing>
            <wp:anchor behindDoc="1" distT="0" distB="0" distL="0" distR="0" simplePos="0" locked="0" layoutInCell="0" allowOverlap="1" relativeHeight="14" wp14:anchorId="7A81856E">
              <wp:simplePos x="0" y="0"/>
              <wp:positionH relativeFrom="page">
                <wp:posOffset>4016375</wp:posOffset>
              </wp:positionH>
              <wp:positionV relativeFrom="page">
                <wp:posOffset>746760</wp:posOffset>
              </wp:positionV>
              <wp:extent cx="70485" cy="162560"/>
              <wp:effectExtent l="0" t="0" r="0" b="0"/>
              <wp:wrapNone/>
              <wp:docPr id="2" name="Прямокутник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560" cy="162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8"/>
                            </w:rPr>
                            <w:t xml:space="preserve">PAGE \* MERGEFORMAT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кутник 3" path="m0,0l-2147483645,0l-2147483645,-2147483646l0,-2147483646xe" stroked="f" o:allowincell="f" style="position:absolute;margin-left:316.25pt;margin-top:58.8pt;width:5.5pt;height:12.75pt;mso-wrap-style:square;v-text-anchor:top;mso-position-horizontal-relative:page;mso-position-vertical-relative:page" wp14:anchorId="7A81856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rPr/>
                    </w:pP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8"/>
                      </w:rPr>
                      <w:t xml:space="preserve"> </w:t>
                    </w: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8"/>
                      </w:rPr>
                      <w:t xml:space="preserve">PAGE \* MERGEFORMAT </w:t>
                    </w: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1"/>
                        <w:highlight w:val="white"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>
        <w:sz w:val="2"/>
        <w:szCs w:val="2"/>
      </w:rPr>
    </w:pPr>
    <w:r>
      <w:rPr>
        <w:sz w:val="2"/>
        <w:szCs w:val="2"/>
      </w:rPr>
      <mc:AlternateContent>
        <mc:Choice Requires="wps">
          <w:drawing>
            <wp:anchor behindDoc="1" distT="0" distB="0" distL="0" distR="0" simplePos="0" locked="0" layoutInCell="0" allowOverlap="1" relativeHeight="14" wp14:anchorId="7A81856E">
              <wp:simplePos x="0" y="0"/>
              <wp:positionH relativeFrom="page">
                <wp:posOffset>4016375</wp:posOffset>
              </wp:positionH>
              <wp:positionV relativeFrom="page">
                <wp:posOffset>746760</wp:posOffset>
              </wp:positionV>
              <wp:extent cx="70485" cy="162560"/>
              <wp:effectExtent l="0" t="0" r="0" b="0"/>
              <wp:wrapNone/>
              <wp:docPr id="3" name="Прямокутник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560" cy="162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8"/>
                            </w:rPr>
                            <w:t xml:space="preserve">PAGE \* MERGEFORMAT </w:t>
                          </w:r>
                          <w:r>
                            <w:rPr>
                              <w:rFonts w:eastAsia="Times New Roman" w:cs="Times New Roman" w:ascii="Times New Roman" w:hAnsi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кутник 3" path="m0,0l-2147483645,0l-2147483645,-2147483646l0,-2147483646xe" stroked="f" o:allowincell="f" style="position:absolute;margin-left:316.25pt;margin-top:58.8pt;width:5.5pt;height:12.75pt;mso-wrap-style:square;v-text-anchor:top;mso-position-horizontal-relative:page;mso-position-vertical-relative:page" wp14:anchorId="7A81856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rPr/>
                    </w:pP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8"/>
                      </w:rPr>
                      <w:t xml:space="preserve"> </w:t>
                    </w: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8"/>
                      </w:rPr>
                      <w:t xml:space="preserve">PAGE \* MERGEFORMAT </w:t>
                    </w:r>
                    <w:r>
                      <w:rPr>
                        <w:rFonts w:eastAsia="Times New Roman" w:cs="Times New Roman" w:ascii="Times New Roman" w:hAnsi="Times New Roman"/>
                        <w:color w:val="000000"/>
                        <w:sz w:val="21"/>
                        <w:highlight w:val="white"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1.%1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zCs w:val="24"/>
        <w:rFonts w:ascii="Arial" w:hAnsi="Arial" w:eastAsia="Arial" w:cs="Arial"/>
        <w:color w:val="000000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2"/>
    <w:uiPriority w:val="9"/>
    <w:unhideWhenUsed/>
    <w:qFormat/>
    <w:rsid w:val="002b2a4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b2a48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2b2a48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b2a4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apple-tab-span" w:customStyle="1">
    <w:name w:val="apple-tab-span"/>
    <w:basedOn w:val="DefaultParagraphFont"/>
    <w:qFormat/>
    <w:rsid w:val="00250f0b"/>
    <w:rPr/>
  </w:style>
  <w:style w:type="character" w:styleId="Style8" w:customStyle="1">
    <w:name w:val="Текст у виносці Знак"/>
    <w:basedOn w:val="DefaultParagraphFont"/>
    <w:link w:val="BalloonText"/>
    <w:uiPriority w:val="99"/>
    <w:semiHidden/>
    <w:qFormat/>
    <w:rsid w:val="007a444f"/>
    <w:rPr>
      <w:rFonts w:ascii="Segoe UI" w:hAnsi="Segoe UI" w:cs="Segoe UI"/>
      <w:sz w:val="18"/>
      <w:szCs w:val="18"/>
    </w:rPr>
  </w:style>
  <w:style w:type="character" w:styleId="3" w:customStyle="1">
    <w:name w:val="Основний текст (3)_"/>
    <w:basedOn w:val="DefaultParagraphFont"/>
    <w:qFormat/>
    <w:rsid w:val="00984631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2"/>
      <w:szCs w:val="22"/>
      <w:u w:val="none"/>
    </w:rPr>
  </w:style>
  <w:style w:type="character" w:styleId="1" w:customStyle="1">
    <w:name w:val="Стиль1 Знак"/>
    <w:basedOn w:val="DefaultParagraphFont"/>
    <w:link w:val="11"/>
    <w:qFormat/>
    <w:rsid w:val="00984631"/>
    <w:rPr>
      <w:b/>
      <w:sz w:val="28"/>
      <w:szCs w:val="28"/>
      <w:lang w:val="uk-UA"/>
    </w:rPr>
  </w:style>
  <w:style w:type="character" w:styleId="31" w:customStyle="1">
    <w:name w:val="Основний текст (3)"/>
    <w:basedOn w:val="3"/>
    <w:qFormat/>
    <w:rsid w:val="00984631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2"/>
      <w:szCs w:val="22"/>
      <w:u w:val="none"/>
      <w:lang w:val="uk-UA"/>
    </w:rPr>
  </w:style>
  <w:style w:type="character" w:styleId="32" w:customStyle="1">
    <w:name w:val="Основний текст (3) + Напівжирний"/>
    <w:basedOn w:val="3"/>
    <w:qFormat/>
    <w:rsid w:val="00984631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2"/>
      <w:szCs w:val="22"/>
      <w:u w:val="none"/>
      <w:lang w:val="uk-UA"/>
    </w:rPr>
  </w:style>
  <w:style w:type="character" w:styleId="Style9" w:customStyle="1">
    <w:name w:val="Основний текст_"/>
    <w:basedOn w:val="DefaultParagraphFont"/>
    <w:link w:val="12"/>
    <w:qFormat/>
    <w:rsid w:val="00984631"/>
    <w:rPr>
      <w:rFonts w:ascii="Times New Roman" w:hAnsi="Times New Roman" w:eastAsia="Times New Roman" w:cs="Times New Roman"/>
      <w:sz w:val="25"/>
      <w:szCs w:val="25"/>
      <w:shd w:fill="FFFFFF" w:val="clear"/>
    </w:rPr>
  </w:style>
  <w:style w:type="character" w:styleId="11pt" w:customStyle="1">
    <w:name w:val="Основний текст + 11 pt"/>
    <w:basedOn w:val="Style9"/>
    <w:qFormat/>
    <w:rsid w:val="00984631"/>
    <w:rPr>
      <w:rFonts w:ascii="Times New Roman" w:hAnsi="Times New Roman" w:eastAsia="Times New Roman" w:cs="Times New Roman"/>
      <w:color w:val="000000"/>
      <w:spacing w:val="0"/>
      <w:w w:val="100"/>
      <w:sz w:val="22"/>
      <w:szCs w:val="22"/>
      <w:shd w:fill="FFFFFF" w:val="clear"/>
      <w:lang w:val="uk-UA"/>
    </w:rPr>
  </w:style>
  <w:style w:type="character" w:styleId="10pt" w:customStyle="1">
    <w:name w:val="Основний текст + 10 pt"/>
    <w:basedOn w:val="Style9"/>
    <w:qFormat/>
    <w:rsid w:val="00984631"/>
    <w:rPr>
      <w:rFonts w:ascii="Times New Roman" w:hAnsi="Times New Roman" w:eastAsia="Times New Roman" w:cs="Times New Roman"/>
      <w:color w:val="000000"/>
      <w:spacing w:val="0"/>
      <w:w w:val="100"/>
      <w:sz w:val="20"/>
      <w:szCs w:val="20"/>
      <w:shd w:fill="FFFFFF" w:val="clear"/>
      <w:lang w:val="uk-UA"/>
    </w:rPr>
  </w:style>
  <w:style w:type="character" w:styleId="9pt" w:customStyle="1">
    <w:name w:val="Основний текст + 9 pt;Напівжирний"/>
    <w:basedOn w:val="Style9"/>
    <w:qFormat/>
    <w:rsid w:val="00921980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8"/>
      <w:szCs w:val="18"/>
      <w:u w:val="none"/>
      <w:shd w:fill="FFFFFF" w:val="clear"/>
      <w:lang w:val="uk-UA"/>
    </w:rPr>
  </w:style>
  <w:style w:type="character" w:styleId="Candara105pt" w:customStyle="1">
    <w:name w:val="Основний текст + Candara;10;5 pt"/>
    <w:basedOn w:val="Style9"/>
    <w:qFormat/>
    <w:rsid w:val="004d1184"/>
    <w:rPr>
      <w:rFonts w:ascii="Candara" w:hAnsi="Candara" w:eastAsia="Candara" w:cs="Candara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1"/>
      <w:szCs w:val="21"/>
      <w:u w:val="none"/>
      <w:shd w:fill="FFFFFF" w:val="clear"/>
      <w:lang w:val="uk-UA"/>
    </w:rPr>
  </w:style>
  <w:style w:type="character" w:styleId="11pt1" w:customStyle="1">
    <w:name w:val="Основний текст + 11 pt;Малі великі літери"/>
    <w:basedOn w:val="Style9"/>
    <w:qFormat/>
    <w:rsid w:val="00303b29"/>
    <w:rPr>
      <w:rFonts w:ascii="Times New Roman" w:hAnsi="Times New Roman" w:eastAsia="Times New Roman" w:cs="Times New Roman"/>
      <w:b w:val="false"/>
      <w:bCs w:val="false"/>
      <w:i w:val="false"/>
      <w:iCs w:val="false"/>
      <w:smallCaps/>
      <w:strike w:val="false"/>
      <w:dstrike w:val="false"/>
      <w:color w:val="000000"/>
      <w:spacing w:val="0"/>
      <w:w w:val="100"/>
      <w:sz w:val="22"/>
      <w:szCs w:val="22"/>
      <w:u w:val="none"/>
      <w:shd w:fill="FFFFFF" w:val="clear"/>
      <w:lang w:val="uk-UA"/>
    </w:rPr>
  </w:style>
  <w:style w:type="character" w:styleId="5" w:customStyle="1">
    <w:name w:val="Основний текст (5)"/>
    <w:basedOn w:val="DefaultParagraphFont"/>
    <w:qFormat/>
    <w:rsid w:val="00af6440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sz w:val="18"/>
      <w:szCs w:val="18"/>
      <w:u w:val="none"/>
      <w:lang w:val="uk-UA"/>
    </w:rPr>
  </w:style>
  <w:style w:type="character" w:styleId="Style10" w:customStyle="1">
    <w:name w:val="Колонтитул_"/>
    <w:basedOn w:val="DefaultParagraphFont"/>
    <w:link w:val="Style11"/>
    <w:qFormat/>
    <w:rsid w:val="00421958"/>
    <w:rPr>
      <w:rFonts w:ascii="Times New Roman" w:hAnsi="Times New Roman" w:eastAsia="Times New Roman" w:cs="Times New Roman"/>
      <w:shd w:fill="FFFFFF" w:val="clear"/>
    </w:rPr>
  </w:style>
  <w:style w:type="character" w:styleId="105pt0pt" w:customStyle="1">
    <w:name w:val="Колонтитул + 10;5 pt;Інтервал 0 pt"/>
    <w:basedOn w:val="Style10"/>
    <w:qFormat/>
    <w:rsid w:val="00421958"/>
    <w:rPr>
      <w:rFonts w:ascii="Times New Roman" w:hAnsi="Times New Roman" w:eastAsia="Times New Roman" w:cs="Times New Roman"/>
      <w:color w:val="000000"/>
      <w:spacing w:val="-10"/>
      <w:w w:val="100"/>
      <w:sz w:val="21"/>
      <w:szCs w:val="21"/>
      <w:shd w:fill="FFFFFF" w:val="clear"/>
    </w:rPr>
  </w:style>
  <w:style w:type="character" w:styleId="51" w:customStyle="1">
    <w:name w:val="Основний текст (5)_"/>
    <w:basedOn w:val="DefaultParagraphFont"/>
    <w:qFormat/>
    <w:rsid w:val="00421958"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z w:val="18"/>
      <w:szCs w:val="18"/>
      <w:u w:val="none"/>
    </w:rPr>
  </w:style>
  <w:style w:type="character" w:styleId="6" w:customStyle="1">
    <w:name w:val="Основний текст (6)_"/>
    <w:basedOn w:val="DefaultParagraphFont"/>
    <w:link w:val="61"/>
    <w:qFormat/>
    <w:rsid w:val="00421958"/>
    <w:rPr>
      <w:rFonts w:ascii="Times New Roman" w:hAnsi="Times New Roman" w:eastAsia="Times New Roman" w:cs="Times New Roman"/>
      <w:b/>
      <w:bCs/>
      <w:shd w:fill="FFFFFF" w:val="clear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2b2a4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7a444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11" w:customStyle="1">
    <w:name w:val="Стиль1"/>
    <w:basedOn w:val="Normal"/>
    <w:link w:val="1"/>
    <w:qFormat/>
    <w:rsid w:val="00984631"/>
    <w:pPr/>
    <w:rPr>
      <w:b/>
      <w:sz w:val="28"/>
      <w:szCs w:val="28"/>
    </w:rPr>
  </w:style>
  <w:style w:type="paragraph" w:styleId="12" w:customStyle="1">
    <w:name w:val="Основний текст1"/>
    <w:basedOn w:val="Normal"/>
    <w:link w:val="Style9"/>
    <w:qFormat/>
    <w:rsid w:val="00984631"/>
    <w:pPr>
      <w:widowControl w:val="false"/>
      <w:shd w:val="clear" w:color="auto" w:fill="FFFFFF"/>
      <w:spacing w:lineRule="exact" w:line="331" w:before="300" w:after="0"/>
      <w:ind w:hanging="980"/>
      <w:jc w:val="both"/>
    </w:pPr>
    <w:rPr>
      <w:rFonts w:ascii="Times New Roman" w:hAnsi="Times New Roman" w:eastAsia="Times New Roman" w:cs="Times New Roman"/>
      <w:sz w:val="25"/>
      <w:szCs w:val="25"/>
    </w:rPr>
  </w:style>
  <w:style w:type="paragraph" w:styleId="ListParagraph">
    <w:name w:val="List Paragraph"/>
    <w:basedOn w:val="Normal"/>
    <w:uiPriority w:val="34"/>
    <w:qFormat/>
    <w:rsid w:val="007829a2"/>
    <w:pPr>
      <w:spacing w:before="0" w:after="160"/>
      <w:ind w:left="720"/>
      <w:contextualSpacing/>
    </w:pPr>
    <w:rPr/>
  </w:style>
  <w:style w:type="paragraph" w:styleId="Style11" w:customStyle="1">
    <w:name w:val="Колонтитул"/>
    <w:basedOn w:val="Normal"/>
    <w:link w:val="Style10"/>
    <w:qFormat/>
    <w:rsid w:val="00421958"/>
    <w:pPr>
      <w:widowControl w:val="false"/>
      <w:shd w:val="clear" w:color="auto" w:fill="FFFFFF"/>
      <w:spacing w:lineRule="atLeast" w:line="0" w:before="0" w:after="0"/>
    </w:pPr>
    <w:rPr>
      <w:rFonts w:ascii="Times New Roman" w:hAnsi="Times New Roman" w:eastAsia="Times New Roman" w:cs="Times New Roman"/>
    </w:rPr>
  </w:style>
  <w:style w:type="paragraph" w:styleId="61" w:customStyle="1">
    <w:name w:val="Основний текст (6)"/>
    <w:basedOn w:val="Normal"/>
    <w:link w:val="6"/>
    <w:qFormat/>
    <w:rsid w:val="00421958"/>
    <w:pPr>
      <w:widowControl w:val="false"/>
      <w:shd w:val="clear" w:color="auto" w:fill="FFFFFF"/>
      <w:spacing w:lineRule="exact" w:line="269" w:before="300" w:after="0"/>
    </w:pPr>
    <w:rPr>
      <w:rFonts w:ascii="Times New Roman" w:hAnsi="Times New Roman" w:eastAsia="Times New Roman" w:cs="Times New Roman"/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21272/jnep.17(1).01028" TargetMode="External"/><Relationship Id="rId3" Type="http://schemas.openxmlformats.org/officeDocument/2006/relationships/hyperlink" Target="https://doi.org/10.1063/5.0294369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+sKx9IrzHwNiNzNTjE3VH63ogxg==">CgMxLjA4AHIhMVY2YS1WTXNUaHNhSzFwVUJreGJmcHhsTWtoTGtSQ1Qy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LibreOffice/25.2.6.2$Linux_X86_64 LibreOffice_project/520$Build-2</Application>
  <AppVersion>15.0000</AppVersion>
  <Pages>7</Pages>
  <Words>1551</Words>
  <Characters>10536</Characters>
  <CharactersWithSpaces>11931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2024-11-24T18:48:00Z</dcterms:created>
  <dc:creator>Пользователь Windows</dc:creator>
  <dc:description/>
  <dc:language>uk-UA</dc:language>
  <cp:lastModifiedBy/>
  <dcterms:modified xsi:type="dcterms:W3CDTF">2025-12-15T22:06:29Z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