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In recent years, the rapid advancement of artificial intelligence has fundamentally transformed numerous industries and sectors. This paper aims to explore the multifaceted implications of machine learning algorithms in healthcare diagnostics. It is important to note that while these technologies offer significant potential for improving patient outcomes, they also raise important ethical considerations regarding data privacy and algorithmic bias. The analysis demonstrates that successful implementation requires not only technical expertise but also robust governance frameworks. Moreover, the integration of AI systems into clinical workflows necessitates careful attention to human factors and user acceptance. Ultimately, the key is to strike a balance between innovation and accountability. This research contributes to a growing body of scholarship on responsible AI deployment. Drawing on case studies from three healthcare systems, we identify several critical success factors. These include interdisciplinary collaboration, transparent validation protocols, and continuous monitoring of system performance. The findings suggest that regulatory frameworks must evolve to accommodate rapidly changing technological capabilities. Future work should examine the long-term consequences of algorithmic decision-making in clinical contexts.</w:t>
      </w:r>
    </w:p>
  </w:body>
</w:document>
</file>