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The thing that surprised me most about working through the accounting literature was how much disagreement there still is about something as basic as what earnings quality actually means. Dechow and Dichev (2002) treat it as the extent to which accruals map onto realised cash flows, but I am not convinced that this captures everything practitioners worry about when they use the phrase. When I looked at the disclosure notes in the annual reports of three Malaysian listed firms, the accrual to cash flow gap was small in all three, yet two of them had been criticised publicly for aggressive revenue recognition in the same period.</w:t>
      </w:r>
    </w:p>
    <w:p>
      <w:r>
        <w:t xml:space="preserve">That said, the measure clearly has value. It is simple to compute, it relies on data that is already in the statements, and it seems to predict restatements reasonably well in the studies I read. Ball and Shivakumar (2006) extend the idea by bringing in asymmetric timeliness, which I found harder to follow, but which does address one of the obvious weaknesses of the original model. The original treats gains and losses as symmetric, and in practice auditors push back on losses much harder than they push back on gains.</w:t>
      </w:r>
    </w:p>
    <w:p>
      <w:r>
        <w:t xml:space="preserve">What I take from all this is that no single number is going to tell you whether a set of accounts is trustworthy. The literature gives you several imperfect signals, and the judgement about which one matters in a particular case is still down to the analyst. That is an uncomfortable conclusion for anyone hoping for a formula, but it is the one the evidence supports.</w:t>
      </w:r>
    </w:p>
  </w:body>
</w:document>
</file>