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TenseLab</w:t>
      </w:r>
    </w:p>
    <w:p>
      <w:pPr>
        <w:pStyle w:val="Subtitle"/>
      </w:pPr>
      <w:r>
        <w:t>Product &amp; Domain Architecture Decision Record</w:t>
      </w:r>
    </w:p>
    <w:p>
      <w:r>
        <w:rPr>
          <w:i/>
        </w:rPr>
        <w:t>Версия 0.1  •  14 октября 2026  •  Статус: концепция / для продолжения разработки</w:t>
      </w:r>
    </w:p>
    <w:p>
      <w:r>
        <w:t>Назначение документа: сохранить договорённости о продукте, контентной модели, международной локализации, типах тренировок и расширении на минимальные пары. Ниже явно отделены принятые решения, рекомендации и открытые вопросы.</w:t>
      </w:r>
    </w:p>
    <w:p>
      <w:pPr>
        <w:pStyle w:val="Heading1"/>
      </w:pPr>
      <w:r>
        <w:t>1. Product vision и границы MVP</w:t>
      </w:r>
    </w:p>
    <w:p>
      <w:r>
        <w:t>TenseLab — система целевой практики английского с фокусом на автоматизации речевых конструкций и измеримом освоении навыков, а не просто генераторе грамматически возможных предложений. Начальная аудитория: учащиеся A2–B1, понимающие правила, но медленно использующие их в речи; далее возможно расширение A1–B2 и на другие языки.</w:t>
      </w:r>
    </w:p>
    <w:p>
      <w:pPr>
        <w:pStyle w:val="ListBullet"/>
      </w:pPr>
      <w:r>
        <w:t>В центре пользовательского опыта — короткое ежедневное занятие и ясное следующее действие; глубокие фильтры доступны отдельно (progressive disclosure).</w:t>
      </w:r>
    </w:p>
    <w:p>
      <w:pPr>
        <w:pStyle w:val="ListBullet"/>
      </w:pPr>
      <w:r>
        <w:t>Качество примеров, естественность, смысловая корректность переводов и перенос навыка важнее количества генерируемых комбинаций.</w:t>
      </w:r>
    </w:p>
    <w:p>
      <w:pPr>
        <w:pStyle w:val="ListBullet"/>
      </w:pPr>
      <w:r>
        <w:t>Продуктовую гипотезу нужно валидировать на реальных учениках; прогресс подтверждать на новых контрольных предложениях, не только на заученных карточках.</w:t>
      </w:r>
    </w:p>
    <w:p>
      <w:pPr>
        <w:pStyle w:val="Heading1"/>
      </w:pPr>
      <w:r>
        <w:t>2. Структура интерфейса и учебных режимов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t>Раздел</w:t>
            </w:r>
          </w:p>
        </w:tc>
        <w:tc>
          <w:tcPr>
            <w:tcW w:type="dxa" w:w="3264"/>
          </w:tcPr>
          <w:p>
            <w:r>
              <w:t>Задача</w:t>
            </w:r>
          </w:p>
        </w:tc>
        <w:tc>
          <w:tcPr>
            <w:tcW w:type="dxa" w:w="3264"/>
          </w:tcPr>
          <w:p>
            <w:r>
              <w:t>Статус</w:t>
            </w:r>
          </w:p>
        </w:tc>
      </w:tr>
      <w:tr>
        <w:tc>
          <w:tcPr>
            <w:tcW w:type="dxa" w:w="3264"/>
          </w:tcPr>
          <w:p>
            <w:r>
              <w:t>Table Drills</w:t>
            </w:r>
          </w:p>
        </w:tc>
        <w:tc>
          <w:tcPr>
            <w:tcW w:type="dxa" w:w="3264"/>
          </w:tcPr>
          <w:p>
            <w:r>
              <w:t>Таблица Петрова и расширения: последовательные/случайные преобразования по временам, лицам, формам</w:t>
            </w:r>
          </w:p>
        </w:tc>
        <w:tc>
          <w:tcPr>
            <w:tcW w:type="dxa" w:w="3264"/>
          </w:tcPr>
          <w:p>
            <w:r>
              <w:t>Принято: отдельная вкладка</w:t>
            </w:r>
          </w:p>
        </w:tc>
      </w:tr>
      <w:tr>
        <w:tc>
          <w:tcPr>
            <w:tcW w:type="dxa" w:w="3264"/>
          </w:tcPr>
          <w:p>
            <w:r>
              <w:t>Translation Drills</w:t>
            </w:r>
          </w:p>
        </w:tc>
        <w:tc>
          <w:tcPr>
            <w:tcW w:type="dxa" w:w="3264"/>
          </w:tcPr>
          <w:p>
            <w:r>
              <w:t>Перевод предложений, затем при необходимости словарные задания; введённый ответ или устно</w:t>
            </w:r>
          </w:p>
        </w:tc>
        <w:tc>
          <w:tcPr>
            <w:tcW w:type="dxa" w:w="3264"/>
          </w:tcPr>
          <w:p>
            <w:r>
              <w:t>Принято: отдельная вкладка</w:t>
            </w:r>
          </w:p>
        </w:tc>
      </w:tr>
      <w:tr>
        <w:tc>
          <w:tcPr>
            <w:tcW w:type="dxa" w:w="3264"/>
          </w:tcPr>
          <w:p>
            <w:r>
              <w:t>Pattern Drills</w:t>
            </w:r>
          </w:p>
        </w:tc>
        <w:tc>
          <w:tcPr>
            <w:tcW w:type="dxa" w:w="3264"/>
          </w:tcPr>
          <w:p>
            <w:r>
              <w:t>Устойчивые и продуктивные конструкции; слоты, лица, времена, отрицания/вопросы, ситуации</w:t>
            </w:r>
          </w:p>
        </w:tc>
        <w:tc>
          <w:tcPr>
            <w:tcW w:type="dxa" w:w="3264"/>
          </w:tcPr>
          <w:p>
            <w:r>
              <w:t>Принято: отдельная вкладка</w:t>
            </w:r>
          </w:p>
        </w:tc>
      </w:tr>
      <w:tr>
        <w:tc>
          <w:tcPr>
            <w:tcW w:type="dxa" w:w="3264"/>
          </w:tcPr>
          <w:p>
            <w:r>
              <w:t>Progress / Review</w:t>
            </w:r>
          </w:p>
        </w:tc>
        <w:tc>
          <w:tcPr>
            <w:tcW w:type="dxa" w:w="3264"/>
          </w:tcPr>
          <w:p>
            <w:r>
              <w:t>Ошибки, освоение навыков, целевые повторения, аналитика</w:t>
            </w:r>
          </w:p>
        </w:tc>
        <w:tc>
          <w:tcPr>
            <w:tcW w:type="dxa" w:w="3264"/>
          </w:tcPr>
          <w:p>
            <w:r>
              <w:t>Рекомендуется</w:t>
            </w:r>
          </w:p>
        </w:tc>
      </w:tr>
      <w:tr>
        <w:tc>
          <w:tcPr>
            <w:tcW w:type="dxa" w:w="3264"/>
          </w:tcPr>
          <w:p>
            <w:r>
              <w:t>Minimal Pairs</w:t>
            </w:r>
          </w:p>
        </w:tc>
        <w:tc>
          <w:tcPr>
            <w:tcW w:type="dxa" w:w="3264"/>
          </w:tcPr>
          <w:p>
            <w:r>
              <w:t>Различение и произношение фонемных контрастов</w:t>
            </w:r>
          </w:p>
        </w:tc>
        <w:tc>
          <w:tcPr>
            <w:tcW w:type="dxa" w:w="3264"/>
          </w:tcPr>
          <w:p>
            <w:r>
              <w:t>Предлагаемое расширение</w:t>
            </w:r>
          </w:p>
        </w:tc>
      </w:tr>
    </w:tbl>
    <w:p/>
    <w:p>
      <w:r>
        <w:t>Таблицы времён можно использовать и как справочник; отдельные режимы должны переиспользовать общие модели учебных целей и упражнений, но не обязаны делить один генератор.</w:t>
      </w:r>
    </w:p>
    <w:p>
      <w:pPr>
        <w:pStyle w:val="Heading1"/>
      </w:pPr>
      <w:r>
        <w:t>3. Система контента: собрать каталог прежде приоритизации</w:t>
      </w:r>
    </w:p>
    <w:p>
      <w:pPr>
        <w:pStyle w:val="ListBullet"/>
      </w:pPr>
      <w:r>
        <w:t>Не вводить искусственный предел 50, 250 или 650 паттернов. Использовать Oxford Phrase List (в материалах фигурируют 650 и 750 записей) как ориентир охвата, а не как свободно распространяемый датасет.</w:t>
      </w:r>
    </w:p>
    <w:p>
      <w:pPr>
        <w:pStyle w:val="ListBullet"/>
      </w:pPr>
      <w:r>
        <w:t>Сначала — каталог кандидатов; затем дедупликация и классификация, отбор приоритетов и создание примеров. Список Oxford не тождественен списку грамматических паттернов: включает коллокации, фразовые глаголы, выражения и др.</w:t>
      </w:r>
    </w:p>
    <w:p>
      <w:pPr>
        <w:pStyle w:val="ListBullet"/>
      </w:pPr>
      <w:r>
        <w:t>Для каждого выбранного паттерна целевой диапазон 20–50 разнообразных, проверенных высказываний; диапазон гибкий, исходя из продуктивности конструкции.</w:t>
      </w:r>
    </w:p>
    <w:p>
      <w:pPr>
        <w:pStyle w:val="ListBullet"/>
      </w:pPr>
      <w:r>
        <w:t>Фразы должны покрывать разные лица, формы, смыслы и контексты; при необходимости содержать явные ограничения применимости преобразований.</w:t>
      </w:r>
    </w:p>
    <w:p>
      <w:pPr>
        <w:pStyle w:val="ListBullet"/>
      </w:pPr>
      <w:r>
        <w:t>Примеры из публичных источников требуют проверки прав; для распространения предпочтительны оригинальные/надлежащим образом лицензированные примеры. Источник, авторские права и версия фиксируются метаданными.</w:t>
      </w:r>
    </w:p>
    <w:p>
      <w:pPr>
        <w:pStyle w:val="ListBullet"/>
      </w:pPr>
      <w:r>
        <w:t>Собирать частотные кандидаты из учебных и корпусных источников, но не выдавать экспертный порядок за измеренный частотный рейтинг.</w:t>
      </w:r>
    </w:p>
    <w:p>
      <w:pPr>
        <w:pStyle w:val="Heading2"/>
      </w:pPr>
      <w:r>
        <w:t>Предлагаемые классы контента</w:t>
      </w:r>
    </w:p>
    <w:p>
      <w:r>
        <w:t>Lexeme; Construction (грамматическая/валентностная модель); Expression (устойчивое выражение); PhrasalVerb как специализированная разновидность лексико-конструкционного материала; Collocation; Idiom. Не требуется жёсткое взаимоисключающее деление: у записи могут быть тип и набор категорий.</w:t>
      </w:r>
    </w:p>
    <w:p>
      <w:pPr>
        <w:pStyle w:val="Heading1"/>
      </w:pPr>
      <w:r>
        <w:t>4. Архитектурное решение: first-class citizens</w:t>
      </w:r>
    </w:p>
    <w:p>
      <w:r>
        <w:t>Вывод обсуждения: нет единого универсального корня для всего приложения. Content Catalog и Learning Engine — разные bounded contexts.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Сущность</w:t>
            </w:r>
          </w:p>
        </w:tc>
        <w:tc>
          <w:tcPr>
            <w:tcW w:type="dxa" w:w="4896"/>
          </w:tcPr>
          <w:p>
            <w:r>
              <w:t>Роль / границы</w:t>
            </w:r>
          </w:p>
        </w:tc>
      </w:tr>
      <w:tr>
        <w:tc>
          <w:tcPr>
            <w:tcW w:type="dxa" w:w="4896"/>
          </w:tcPr>
          <w:p>
            <w:r>
              <w:t>LearningItem</w:t>
            </w:r>
          </w:p>
        </w:tc>
        <w:tc>
          <w:tcPr>
            <w:tcW w:type="dxa" w:w="4896"/>
          </w:tcPr>
          <w:p>
            <w:r>
              <w:t>Общая идентичность учебного материала: тип, целевой язык, метаданные. Не giant aggregate.</w:t>
            </w:r>
          </w:p>
        </w:tc>
      </w:tr>
      <w:tr>
        <w:tc>
          <w:tcPr>
            <w:tcW w:type="dxa" w:w="4896"/>
          </w:tcPr>
          <w:p>
            <w:r>
              <w:t>Lexeme / Construction / Expression</w:t>
            </w:r>
          </w:p>
        </w:tc>
        <w:tc>
          <w:tcPr>
            <w:tcW w:type="dxa" w:w="4896"/>
          </w:tcPr>
          <w:p>
            <w:r>
              <w:t>Типизированная предметная семантика. Значения и конструкции нужно отличать от поверхностных словоформ.</w:t>
            </w:r>
          </w:p>
        </w:tc>
      </w:tr>
      <w:tr>
        <w:tc>
          <w:tcPr>
            <w:tcW w:type="dxa" w:w="4896"/>
          </w:tcPr>
          <w:p>
            <w:r>
              <w:t>LearningObjective</w:t>
            </w:r>
          </w:p>
        </w:tc>
        <w:tc>
          <w:tcPr>
            <w:tcW w:type="dxa" w:w="4896"/>
          </w:tcPr>
          <w:p>
            <w:r>
              <w:t>Центр учебного процесса: конкретный измеримый навык (понимать, распознавать на слух, производить вопрос и т. п.).</w:t>
            </w:r>
          </w:p>
        </w:tc>
      </w:tr>
      <w:tr>
        <w:tc>
          <w:tcPr>
            <w:tcW w:type="dxa" w:w="4896"/>
          </w:tcPr>
          <w:p>
            <w:r>
              <w:t>Utterance</w:t>
            </w:r>
          </w:p>
        </w:tc>
        <w:tc>
          <w:tcPr>
            <w:tcW w:type="dxa" w:w="4896"/>
          </w:tcPr>
          <w:p>
            <w:r>
              <w:t>Высказывание/реплика, не только грамматическое предложение; содержит контекст, может иллюстрировать множество LearningItems.</w:t>
            </w:r>
          </w:p>
        </w:tc>
      </w:tr>
      <w:tr>
        <w:tc>
          <w:tcPr>
            <w:tcW w:type="dxa" w:w="4896"/>
          </w:tcPr>
          <w:p>
            <w:r>
              <w:t>Exercise</w:t>
            </w:r>
          </w:p>
        </w:tc>
        <w:tc>
          <w:tcPr>
            <w:tcW w:type="dxa" w:w="4896"/>
          </w:tcPr>
          <w:p>
            <w:r>
              <w:t>Задание с целью, модальностью ответа, материалом и EvaluationPolicy; может генерироваться динамически.</w:t>
            </w:r>
          </w:p>
        </w:tc>
      </w:tr>
      <w:tr>
        <w:tc>
          <w:tcPr>
            <w:tcW w:type="dxa" w:w="4896"/>
          </w:tcPr>
          <w:p>
            <w:r>
              <w:t>Attempt / LearningProgress</w:t>
            </w:r>
          </w:p>
        </w:tc>
        <w:tc>
          <w:tcPr>
            <w:tcW w:type="dxa" w:w="4896"/>
          </w:tcPr>
          <w:p>
            <w:r>
              <w:t>Ответ и траектория освоения пользователем в разрезе LearningObjective.</w:t>
            </w:r>
          </w:p>
        </w:tc>
      </w:tr>
    </w:tbl>
    <w:p/>
    <w:p>
      <w:r>
        <w:t>Отношения: LearningItem ↔ Utterance — many-to-many; Exercise → one/many LearningObjective; Attempt → Exercise; Progress агрегируется по objective, а не только по паттерну. Пример: «She looks like her mother» иллюстрирует look like, Present Simple (3rd person), her и может использоваться в listening.</w:t>
      </w:r>
    </w:p>
    <w:p>
      <w:pPr>
        <w:pStyle w:val="Heading2"/>
      </w:pPr>
      <w:r>
        <w:t>Пример учебных целей</w:t>
      </w:r>
    </w:p>
    <w:p>
      <w:r>
        <w:t>en.look-like.resemblance → understand.meaning; produce.present.affirmative; produce.present.negative; produce.present.question; produce.past; recognize.in.speech.</w:t>
      </w:r>
    </w:p>
    <w:p>
      <w:pPr>
        <w:pStyle w:val="Heading1"/>
      </w:pPr>
      <w:r>
        <w:t>5. Минимальные пары: расширение фонологического домена</w:t>
      </w:r>
    </w:p>
    <w:p>
      <w:r>
        <w:t>Минимальная пара — две произносительные формы, различающиеся ровно одной фонемой в заданной фонологической системе/разновидности языка, при сопоставимой структуре. Пример для контраста /ɪ/–/iː/: ship /ʃɪp/ ↔ sheep /ʃiːp/.</w:t>
      </w:r>
    </w:p>
    <w:p>
      <w:r>
        <w:t>Это не «лексема = звук». Фонема — фонологическая единица; Lexeme — лексическая единица со значением; Pronunciation — конкретная произносительная реализация лексической записи в акценте/варианте; MinimalPair — отношение двух Pronunciations, служащее материалом для упражнений.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Сущность</w:t>
            </w:r>
          </w:p>
        </w:tc>
        <w:tc>
          <w:tcPr>
            <w:tcW w:type="dxa" w:w="4896"/>
          </w:tcPr>
          <w:p>
            <w:r>
              <w:t>Назначение</w:t>
            </w:r>
          </w:p>
        </w:tc>
      </w:tr>
      <w:tr>
        <w:tc>
          <w:tcPr>
            <w:tcW w:type="dxa" w:w="4896"/>
          </w:tcPr>
          <w:p>
            <w:r>
              <w:t>Phoneme</w:t>
            </w:r>
          </w:p>
        </w:tc>
        <w:tc>
          <w:tcPr>
            <w:tcW w:type="dxa" w:w="4896"/>
          </w:tcPr>
          <w:p>
            <w:r>
              <w:t>Фонологическая категория, IPA-символ, язык/фонологическая система; не отдельное слово.</w:t>
            </w:r>
          </w:p>
        </w:tc>
      </w:tr>
      <w:tr>
        <w:tc>
          <w:tcPr>
            <w:tcW w:type="dxa" w:w="4896"/>
          </w:tcPr>
          <w:p>
            <w:r>
              <w:t>Pronunciation</w:t>
            </w:r>
          </w:p>
        </w:tc>
        <w:tc>
          <w:tcPr>
            <w:tcW w:type="dxa" w:w="4896"/>
          </w:tcPr>
          <w:p>
            <w:r>
              <w:t>Транскрипция, последовательность фонем, variety/accent, возможно аудио; связана с Lexeme/Expression.</w:t>
            </w:r>
          </w:p>
        </w:tc>
      </w:tr>
      <w:tr>
        <w:tc>
          <w:tcPr>
            <w:tcW w:type="dxa" w:w="4896"/>
          </w:tcPr>
          <w:p>
            <w:r>
              <w:t>PhonemeContrast</w:t>
            </w:r>
          </w:p>
        </w:tc>
        <w:tc>
          <w:tcPr>
            <w:tcW w:type="dxa" w:w="4896"/>
          </w:tcPr>
          <w:p>
            <w:r>
              <w:t>Пара различаемых фонем в пределах определённого варианта языка, например /ɪ/ vs /iː/.</w:t>
            </w:r>
          </w:p>
        </w:tc>
      </w:tr>
      <w:tr>
        <w:tc>
          <w:tcPr>
            <w:tcW w:type="dxa" w:w="4896"/>
          </w:tcPr>
          <w:p>
            <w:r>
              <w:t>MinimalPair</w:t>
            </w:r>
          </w:p>
        </w:tc>
        <w:tc>
          <w:tcPr>
            <w:tcW w:type="dxa" w:w="4896"/>
          </w:tcPr>
          <w:p>
            <w:r>
              <w:t>Отношение двух Pronunciation ID; ссылка на контраст, проверенный метод установления и источник.</w:t>
            </w:r>
          </w:p>
        </w:tc>
      </w:tr>
      <w:tr>
        <w:tc>
          <w:tcPr>
            <w:tcW w:type="dxa" w:w="4896"/>
          </w:tcPr>
          <w:p>
            <w:r>
              <w:t>AudioAsset</w:t>
            </w:r>
          </w:p>
        </w:tc>
        <w:tc>
          <w:tcPr>
            <w:tcW w:type="dxa" w:w="4896"/>
          </w:tcPr>
          <w:p>
            <w:r>
              <w:t>Запись диктора/TTS, происхождение, лицензия, акцент, качество.</w:t>
            </w:r>
          </w:p>
        </w:tc>
      </w:tr>
      <w:tr>
        <w:tc>
          <w:tcPr>
            <w:tcW w:type="dxa" w:w="4896"/>
          </w:tcPr>
          <w:p>
            <w:r>
              <w:t>LearningObjective</w:t>
            </w:r>
          </w:p>
        </w:tc>
        <w:tc>
          <w:tcPr>
            <w:tcW w:type="dxa" w:w="4896"/>
          </w:tcPr>
          <w:p>
            <w:r>
              <w:t>discriminate.phonemes, identify.spoken.word, produce.phoneme, pronounce.word; измеримый навык.</w:t>
            </w:r>
          </w:p>
        </w:tc>
      </w:tr>
    </w:tbl>
    <w:p/>
    <w:p>
      <w:pPr>
        <w:pStyle w:val="Heading2"/>
      </w:pPr>
      <w:r>
        <w:t>Тонкости реализации минимальных пар</w:t>
      </w:r>
    </w:p>
    <w:p>
      <w:pPr>
        <w:pStyle w:val="ListBullet"/>
      </w:pPr>
      <w:r>
        <w:t>Сопоставлять фонемные последовательности, а не написания; графемная похожесть не обязательна.</w:t>
      </w:r>
    </w:p>
    <w:p>
      <w:pPr>
        <w:pStyle w:val="ListBullet"/>
      </w:pPr>
      <w:r>
        <w:t>Хранить акцент/вариант языка; пары могут быть минимальными в одном акценте и не быть такими в другом.</w:t>
      </w:r>
    </w:p>
    <w:p>
      <w:pPr>
        <w:pStyle w:val="ListBullet"/>
      </w:pPr>
      <w:r>
        <w:t>Разделить perception и production: распознавание аудио и собственное произношение требуют разных способов оценивания.</w:t>
      </w:r>
    </w:p>
    <w:p>
      <w:pPr>
        <w:pStyle w:val="ListBullet"/>
      </w:pPr>
      <w:r>
        <w:t>Для упражнений на звуки удобно также иметь near-minimal pairs, но явно маркировать их отдельно; не записывать как строгую MinimalPair.</w:t>
      </w:r>
    </w:p>
    <w:p>
      <w:pPr>
        <w:pStyle w:val="ListBullet"/>
      </w:pPr>
      <w:r>
        <w:t>Не полагаться только на TTS при проверке тонких контрастов: желательно аудио с контролем качества и произношения.</w:t>
      </w:r>
    </w:p>
    <w:p>
      <w:pPr>
        <w:pStyle w:val="Heading2"/>
      </w:pPr>
      <w:r>
        <w:t>Пример JSON (псевдосхема)</w:t>
      </w:r>
    </w:p>
    <w:p>
      <w:pPr>
        <w:pStyle w:val="NoSpacing"/>
      </w:pPr>
      <w:r>
        <w:rPr>
          <w:rFonts w:ascii="Consolas" w:hAnsi="Consolas"/>
          <w:sz w:val="16"/>
        </w:rPr>
        <w:t>{</w:t>
        <w:br/>
        <w:t xml:space="preserve">  "id": "mp.en.gb.ship-sheep",</w:t>
        <w:br/>
        <w:t xml:space="preserve">  "type": "minimal_pair",</w:t>
        <w:br/>
        <w:t xml:space="preserve">  "language": "en",</w:t>
        <w:br/>
        <w:t xml:space="preserve">  "variety": "en-GB",</w:t>
        <w:br/>
        <w:t xml:space="preserve">  "leftPronunciationId": "pron.en.gb.ship.1",</w:t>
        <w:br/>
        <w:t xml:space="preserve">  "rightPronunciationId": "pron.en.gb.sheep.1",</w:t>
        <w:br/>
        <w:t xml:space="preserve">  "contrastId": "contrast.en.gb.ɪ-iː",</w:t>
        <w:br/>
        <w:t xml:space="preserve">  "objectiveIds": ["discriminate.en.gb.ɪ-iː"],</w:t>
        <w:br/>
        <w:t xml:space="preserve">  "status": "candidate"</w:t>
        <w:br/>
        <w:t>}</w:t>
      </w:r>
    </w:p>
    <w:p>
      <w:pPr>
        <w:pStyle w:val="Heading1"/>
      </w:pPr>
      <w:r>
        <w:t>6. Multilingual by design</w:t>
      </w:r>
    </w:p>
    <w:p>
      <w:r>
        <w:t>Разделить targetLanguage (изучаемый язык), contentLocale (язык пояснений/переводов) и uiLocale (язык интерфейса). Три настройки независимы, даже если первая версия поддерживает только английский как изучаемый язык.</w:t>
      </w:r>
    </w:p>
    <w:p>
      <w:pPr>
        <w:pStyle w:val="ListBullet"/>
      </w:pPr>
      <w:r>
        <w:t>Идентификаторы LearningItem и LearningObjective не должны зависеть от родного языка пользователя.</w:t>
      </w:r>
    </w:p>
    <w:p>
      <w:pPr>
        <w:pStyle w:val="ListBullet"/>
      </w:pPr>
      <w:r>
        <w:t>Переводы/значения/пояснения должны быть отдельными локализованными данными; один оригинальный Utterance может иметь несколько переводов с контекстными вариантами.</w:t>
      </w:r>
    </w:p>
    <w:p>
      <w:pPr>
        <w:pStyle w:val="ListBullet"/>
      </w:pPr>
      <w:r>
        <w:t>UI-локализация — отдельный ресурсный пакет; перевод кнопок не означает готовности упражнений на таком языке.</w:t>
      </w:r>
    </w:p>
    <w:p>
      <w:pPr>
        <w:pStyle w:val="ListBullet"/>
      </w:pPr>
      <w:r>
        <w:t>Новый target language может требовать отдельного лингвистического движка и своих фонологических систем.</w:t>
      </w:r>
    </w:p>
    <w:p>
      <w:pPr>
        <w:pStyle w:val="Heading1"/>
      </w:pPr>
      <w:r>
        <w:t>7. Хранение, реализация и архитектурные границы</w:t>
      </w:r>
    </w:p>
    <w:p>
      <w:r>
        <w:t>На раннем этапе: статические JSON/JSONL данные, JSON Schema и Git; TypeScript-домен без зависимости от UI; frontend на TS (с React/Vite или без UI-фреймворка), browser storage для прогресса. Backend Spring Boot/PostgreSQL — когда появятся реальные потребности в аккаунтах, синхронизации, рекомендациях и т.д.</w:t>
      </w:r>
    </w:p>
    <w:p>
      <w:r>
        <w:t>Возможная структура репозитория: catalog/{language}/items, utterances, pronunciations, minimal-pairs; taxonomy; locales/ui/{locale}; locales/content/{locale}; schemas; provenance; exercises; validation. Большие корпуса лучше хранить в JSONL, поддерживая стабильные ID и версионирование схем.</w:t>
      </w:r>
    </w:p>
    <w:p>
      <w:pPr>
        <w:pStyle w:val="ListBullet"/>
      </w:pPr>
      <w:r>
        <w:t>Нужны линтер и тесты: структура слотов, согласование, допустимость преобразования, грамматика, естественность и смысловая эквивалентность перевода.</w:t>
      </w:r>
    </w:p>
    <w:p>
      <w:pPr>
        <w:pStyle w:val="ListBullet"/>
      </w:pPr>
      <w:r>
        <w:t>Детерминированная проверка пригодна для однозначных форм; альтернативные ответы требуют более гибкой evaluation policy. LLM может помогать редактору, но не является источником гарантированной правильности.</w:t>
      </w:r>
    </w:p>
    <w:p>
      <w:pPr>
        <w:pStyle w:val="ListBullet"/>
      </w:pPr>
      <w:r>
        <w:t>Разделять каталожную сущность, реальный текст, генерируемую задачу и прогресс пользователя.</w:t>
      </w:r>
    </w:p>
    <w:p>
      <w:pPr>
        <w:pStyle w:val="Heading1"/>
      </w:pPr>
      <w:r>
        <w:t>8. Контентный pipeline и контроль качества</w:t>
      </w:r>
    </w:p>
    <w:p>
      <w:pPr>
        <w:pStyle w:val="ListNumber"/>
      </w:pPr>
      <w:r>
        <w:t>Найти кандидатов в авторитетных источниках и записать provenance/license.</w:t>
      </w:r>
    </w:p>
    <w:p>
      <w:pPr>
        <w:pStyle w:val="ListNumber"/>
      </w:pPr>
      <w:r>
        <w:t>Нормализовать, дедуплицировать, классифицировать, назначить смысловые значения и scope.</w:t>
      </w:r>
    </w:p>
    <w:p>
      <w:pPr>
        <w:pStyle w:val="ListNumber"/>
      </w:pPr>
      <w:r>
        <w:t>Определить возможные учебные цели и допустимые drillCapabilities.</w:t>
      </w:r>
    </w:p>
    <w:p>
      <w:pPr>
        <w:pStyle w:val="ListNumber"/>
      </w:pPr>
      <w:r>
        <w:t>Подобрать или написать 20–50 контекстных примеров для приоритетных паттернов.</w:t>
      </w:r>
    </w:p>
    <w:p>
      <w:pPr>
        <w:pStyle w:val="ListNumber"/>
      </w:pPr>
      <w:r>
        <w:t>Проверить естественность английского, смысл переводов, грамматику, уровень и юридический статус.</w:t>
      </w:r>
    </w:p>
    <w:p>
      <w:pPr>
        <w:pStyle w:val="ListNumber"/>
      </w:pPr>
      <w:r>
        <w:t>Зарезервировать отдельные контрольные предложения для проверки переноса навыка.</w:t>
      </w:r>
    </w:p>
    <w:p>
      <w:pPr>
        <w:pStyle w:val="ListNumber"/>
      </w:pPr>
      <w:r>
        <w:t>Публиковать только прошедший review контент, с версиями и возможностью отката.</w:t>
      </w:r>
    </w:p>
    <w:p>
      <w:pPr>
        <w:pStyle w:val="Heading1"/>
      </w:pPr>
      <w:r>
        <w:t>9. Метрики и проверка продуктовой гипотезы</w:t>
      </w:r>
    </w:p>
    <w:p>
      <w:r>
        <w:t>Activation: первая завершённая тренировка; D7 retention; число упражнений за сессию; ошибки по objectives; точность/время ответа; learning gain на новых тестовых материалах. Время ответа интерпретировать вместе с точностью, не как самостоятельный показатель владения речью.</w:t>
      </w:r>
    </w:p>
    <w:p>
      <w:r>
        <w:t>Проверка на небольшой группе пользователей до масштабной разработки, прежде чем инвестировать в сложный backend, мобильные клиенты или массовую генерацию контента.</w:t>
      </w:r>
    </w:p>
    <w:p>
      <w:pPr>
        <w:pStyle w:val="Heading1"/>
      </w:pPr>
      <w:r>
        <w:t>10. Решения и вопросы для следующего этапа</w:t>
      </w:r>
    </w:p>
    <w:p>
      <w:pPr>
        <w:pStyle w:val="Heading2"/>
      </w:pPr>
      <w:r>
        <w:t>Согласованные решения</w:t>
      </w:r>
    </w:p>
    <w:p>
      <w:pPr>
        <w:pStyle w:val="ListBullet"/>
      </w:pPr>
      <w:r>
        <w:t>Отдельные вкладки Table Drills, Translation Drills и Pattern Drills.</w:t>
      </w:r>
    </w:p>
    <w:p>
      <w:pPr>
        <w:pStyle w:val="ListBullet"/>
      </w:pPr>
      <w:r>
        <w:t>Каталог без искусственного числового потолка; сохранять классификацию, источники и статусы.</w:t>
      </w:r>
    </w:p>
    <w:p>
      <w:pPr>
        <w:pStyle w:val="ListBullet"/>
      </w:pPr>
      <w:r>
        <w:t>Мультиязычность как базовый инвариант модели; UI и учебные объяснения локализуются независимо.</w:t>
      </w:r>
    </w:p>
    <w:p>
      <w:pPr>
        <w:pStyle w:val="ListBullet"/>
      </w:pPr>
      <w:r>
        <w:t>LearningObjective — центральный объект процесса обучения; LearningItem — контентная идентичность, Utterance — пример.</w:t>
      </w:r>
    </w:p>
    <w:p>
      <w:pPr>
        <w:pStyle w:val="ListBullet"/>
      </w:pPr>
      <w:r>
        <w:t>Новая фонологическая подсистема для минимальных пар, не перегружающая Lexeme.</w:t>
      </w:r>
    </w:p>
    <w:p>
      <w:pPr>
        <w:pStyle w:val="Heading2"/>
      </w:pPr>
      <w:r>
        <w:t>Открытые вопросы / не фиксировать преждевременно</w:t>
      </w:r>
    </w:p>
    <w:p>
      <w:pPr>
        <w:pStyle w:val="ListBullet"/>
      </w:pPr>
      <w:r>
        <w:t>Юридически допустимый способ использования полного Oxford Phrase List и точная версия (650/750).</w:t>
      </w:r>
    </w:p>
    <w:p>
      <w:pPr>
        <w:pStyle w:val="ListBullet"/>
      </w:pPr>
      <w:r>
        <w:t>Фактические CEFR и частотность каждого LearningItem (не подменять экспертной оценкой).</w:t>
      </w:r>
    </w:p>
    <w:p>
      <w:pPr>
        <w:pStyle w:val="ListBullet"/>
      </w:pPr>
      <w:r>
        <w:t>Полный каталог, схема sense-level identity, критерии объединения/разделения записей.</w:t>
      </w:r>
    </w:p>
    <w:p>
      <w:pPr>
        <w:pStyle w:val="ListBullet"/>
      </w:pPr>
      <w:r>
        <w:t>Система оценивания pronunciation production и достаточное качество аудиокорпуса.</w:t>
      </w:r>
    </w:p>
    <w:p>
      <w:pPr>
        <w:pStyle w:val="ListBullet"/>
      </w:pPr>
      <w:r>
        <w:t>В какой момент вводить сервер и учетные записи.</w:t>
      </w:r>
    </w:p>
    <w:p>
      <w:pPr>
        <w:pStyle w:val="Heading2"/>
      </w:pPr>
      <w:r>
        <w:t>Первый backlog при возвращении к проекту</w:t>
      </w:r>
    </w:p>
    <w:p>
      <w:pPr>
        <w:pStyle w:val="ListNumber"/>
      </w:pPr>
      <w:r>
        <w:t>Заморозить контракт domain IDs и JSON Schema v0.1.</w:t>
      </w:r>
    </w:p>
    <w:p>
      <w:pPr>
        <w:pStyle w:val="ListNumber"/>
      </w:pPr>
      <w:r>
        <w:t>Создать рабочий репозиторий каталога с таксономией и лицензиями.</w:t>
      </w:r>
    </w:p>
    <w:p>
      <w:pPr>
        <w:pStyle w:val="ListNumber"/>
      </w:pPr>
      <w:r>
        <w:t>Рефакторить старый генератор, устранить ошибочные русско-английские эквиваленты.</w:t>
      </w:r>
    </w:p>
    <w:p>
      <w:pPr>
        <w:pStyle w:val="ListNumber"/>
      </w:pPr>
      <w:r>
        <w:t>Подготовить пилот 15–20 Pattern Drills с ручной лингвистической проверкой.</w:t>
      </w:r>
    </w:p>
    <w:p>
      <w:pPr>
        <w:pStyle w:val="ListNumber"/>
      </w:pPr>
      <w:r>
        <w:t>Добавить 10–20 минимальных пар как проверку расширяемости модели.</w:t>
      </w:r>
    </w:p>
    <w:p>
      <w:pPr>
        <w:pStyle w:val="ListNumber"/>
      </w:pPr>
      <w:r>
        <w:t>Провести пользовательское тестирование и зафиксировать метрики обучения.</w:t>
      </w:r>
    </w:p>
    <w:p>
      <w:pPr>
        <w:pStyle w:val="Heading1"/>
      </w:pPr>
      <w:r>
        <w:t>11. Справочные источники для будущей проверки</w:t>
      </w:r>
    </w:p>
    <w:p>
      <w:pPr>
        <w:pStyle w:val="ListBullet"/>
      </w:pPr>
      <w:r>
        <w:t>Oxford Phrase List — https://www.oxfordlearnersdictionaries.com/wordlists/</w:t>
      </w:r>
    </w:p>
    <w:p>
      <w:pPr>
        <w:pStyle w:val="ListBullet"/>
      </w:pPr>
      <w:r>
        <w:t>English Vocabulary Profile — https://www.englishprofile.org/</w:t>
      </w:r>
    </w:p>
    <w:p>
      <w:pPr>
        <w:pStyle w:val="ListBullet"/>
      </w:pPr>
      <w:r>
        <w:t>Cambridge English Grammar Today — https://dictionary.cambridge.org/grammar/british-grammar/</w:t>
      </w:r>
    </w:p>
    <w:p>
      <w:pPr>
        <w:pStyle w:val="ListBullet"/>
      </w:pPr>
      <w:r>
        <w:t>British Council LearnEnglish Grammar — https://learnenglish.britishcouncil.org/free-resources/grammar</w:t>
      </w:r>
    </w:p>
    <w:p>
      <w:pPr>
        <w:pStyle w:val="ListBullet"/>
      </w:pPr>
      <w:r>
        <w:t>Tatoeba (условия лицензирования проверять для каждого используемого набора) — https://tatoeba.org/en/downloads</w:t>
      </w:r>
    </w:p>
    <w:p>
      <w:r>
        <w:t>Примечание: ссылки — ориентиры для будущего исследования; этот документ фиксирует обсуждение и архитектурные рекомендации, не утверждает, что списки источников свободны для массового копирования.</w:t>
      </w:r>
    </w:p>
    <w:sectPr w:rsidR="00FC693F" w:rsidRPr="0006063C" w:rsidSect="00034616">
      <w:footerReference w:type="default" r:id="rId9"/>
      <w:pgSz w:w="12240" w:h="15840"/>
      <w:pgMar w:top="1080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TenseLab — Architecture &amp; Product Notes  |  v0.1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1355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1355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21355E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