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ProjectOS V1.6 — Agent Studio 可视化配置工作台实施设计说明书</w:t>
      </w:r>
    </w:p>
    <w:p>
      <w:r>
        <w:t>版本：V1.6｜性质：独立版本、增量开发｜适用：Electron + React + TypeScript + Ant Design + SQLite + IPC｜实施对象：Codex / Claude Code / 其他 AI 编程 Agent</w:t>
      </w:r>
    </w:p>
    <w:p>
      <w:pPr>
        <w:pStyle w:val="Heading1"/>
      </w:pPr>
      <w:r>
        <w:t>0. 版本定位与强制约束</w:t>
      </w:r>
    </w:p>
    <w:p>
      <w:r>
        <w:t>V1.5 解决“Agent 的名称、人设、Skills 与开放式 Runtime 如何定义并真正执行”；V1.6 解决“这些能力如何以专业、直观、精致且可访问的桌面交互呈现”。</w:t>
      </w:r>
    </w:p>
    <w:p>
      <w:r>
        <w:t>本期必须保留 V1.3 层级式 Agent 工作流图、V1.4 自主运营/自动修复与 UI 可读性整改、V1.5 AgentDefinition/Persona/Skills/Runtime Adapter/ACP 等已有真实能力。禁止推倒重做、重复创建数据源或用静态假数据代替实际接口。参考图是视觉验收基准，不是灵感图。</w:t>
      </w:r>
    </w:p>
    <w:p>
      <w:r>
        <w:t>交付必须覆盖：Agent 模板库、创建/编辑/复制/管理、五阶段配置、右侧实时预览、真实 Runtime 诊断、Skills 兼容性、配置保存与版本、响应式和深浅色主题。</w:t>
      </w:r>
    </w:p>
    <w:p>
      <w:pPr>
        <w:pStyle w:val="Heading1"/>
      </w:pPr>
      <w:r>
        <w:t>1. 设计输入与现状审计（M1.6-00）</w:t>
      </w:r>
    </w:p>
    <w:p>
      <w:r>
        <w:t>输入：现有 Agent 管理弹窗截图（单栏普通表单）与本包附带的 Agent_Studio_Visual_Reference.png（三栏参考图）。审计已有组件、路由、状态管理、SQLite 表、IPC 事件、RuntimeProfile、Skills 注册中心、AgentRun 和主题 Token。</w:t>
      </w:r>
    </w:p>
    <w:p>
      <w:r>
        <w:t>在写代码前提交《现状与差距表》，逐项列出：功能是否已存在、实现文件、真实数据接口、拟复用组件、缺失能力、迁移风险、验收方式。无法确认的功能必须标记“待核实”，不得当成已实现。</w:t>
      </w:r>
    </w:p>
    <w:p>
      <w:pPr>
        <w:pStyle w:val="Heading1"/>
      </w:pPr>
      <w:r>
        <w:t>2. 信息架构与页面模式</w:t>
      </w:r>
    </w:p>
    <w:p>
      <w:r>
        <w:t>Agent Studio 为统一管理入口：左侧 Agent 列表/模板导航，中间配置工作区，右侧实时预览/诊断摘要；创建、编辑、复制共用一个表单内核。列表模式保留搜索、筛选、状态、编辑、复制、归档入口；创建模式可从模板或空白开始。不得因 UI 改造丢失现有 Agent 管理功能。</w:t>
      </w:r>
    </w:p>
    <w:p>
      <w:r>
        <w:t>顶部五个配置 Tab：基础信息 / 人设与提示词 / 技能 / 运行环境 / 高级设置。允许用户直接切换 Tab，草稿不得丢失。底部固定操作栏根据模式显示“取消 / 下一步 / 上一步 / 创建 Agent / 保存修改”。</w:t>
      </w:r>
    </w:p>
    <w:p>
      <w:pPr>
        <w:pStyle w:val="Heading1"/>
      </w:pPr>
      <w:r>
        <w:t>3. 视觉布局与尺寸（M1.6-01）</w:t>
      </w:r>
    </w:p>
    <w:p>
      <w:pPr>
        <w:pStyle w:val="ListBullet"/>
      </w:pPr>
      <w:r>
        <w:t>桌面宽屏三栏：左 20%–23%，中 50%–55%，右 24%–28%；具体以设计参考图与真实窗口为准。</w:t>
      </w:r>
    </w:p>
    <w:p>
      <w:pPr>
        <w:pStyle w:val="ListBullet"/>
      </w:pPr>
      <w:r>
        <w:t>弹窗宽度 min(1480px, 92vw)，高度 min(900px, 90vh)，圆角 20–24px；视口小于参考图时优先保证中间表单可用。</w:t>
      </w:r>
    </w:p>
    <w:p>
      <w:pPr>
        <w:pStyle w:val="ListBullet"/>
      </w:pPr>
      <w:r>
        <w:t>左侧模板区独立滚动；中间表单内容独立滚动；右侧预览可独立滚动；底部操作栏固定，禁止遮挡输入框。</w:t>
      </w:r>
    </w:p>
    <w:p>
      <w:pPr>
        <w:pStyle w:val="ListBullet"/>
      </w:pPr>
      <w:r>
        <w:t>背景仅适度遮罩与毛玻璃；高密度文字、表单和预览信息面板采用高不透明度背景。</w:t>
      </w:r>
    </w:p>
    <w:p>
      <w:pPr>
        <w:pStyle w:val="ListBullet"/>
      </w:pPr>
      <w:r>
        <w:t>不通过 transform: scale 或全局 zoom 压缩整个页面；避免父容器 opacity/filter 导致字体发虚。</w:t>
      </w:r>
    </w:p>
    <w:p>
      <w:pPr>
        <w:pStyle w:val="ListBullet"/>
      </w:pPr>
      <w:r>
        <w:t>细腻边框、柔和阴影、统一间距与图标；蓝色强调色沿用 ProjectOS 现有主题 Token，禁止另建一套视觉语言。</w:t>
      </w:r>
    </w:p>
    <w:p>
      <w:pPr>
        <w:pStyle w:val="ListBullet"/>
      </w:pPr>
      <w:r>
        <w:t>设计参考图中的占位数据不是实际默认值，生产环境只能显示真实配置或“未配置”。</w:t>
      </w:r>
    </w:p>
    <w:p>
      <w:pPr>
        <w:pStyle w:val="Heading1"/>
      </w:pPr>
      <w:r>
        <w:t>4. 左栏：模板与 Agent 导航（M1.6-02）</w:t>
      </w:r>
    </w:p>
    <w:p>
      <w:r>
        <w:t>模板搜索、推荐模板、从空白创建；模板包括通用助理、后端、前端、架构师、测试、运维、产品经理、UI 设计、数据分析等。模板为可编辑的配置预设，不是锁定角色；模板可关联 Persona、推荐 Skills、默认权限建议，但不能自动授予危险权限，也不能将 Runtime 标记为已安装。</w:t>
      </w:r>
    </w:p>
    <w:p>
      <w:r>
        <w:t>每行使用统一图标容器、名称、明确选中态、键盘焦点态。若存在已创建 Agent，列表模式应展示真实 Agent，并支持搜索、状态筛选、编辑/复制/归档。模板与已有 Agent 列表须明确区分，避免误操作。</w:t>
      </w:r>
    </w:p>
    <w:p>
      <w:pPr>
        <w:pStyle w:val="Heading1"/>
      </w:pPr>
      <w:r>
        <w:t>5. 中栏：基础信息 Tab（M1.6-03）</w:t>
      </w:r>
    </w:p>
    <w:p>
      <w:r>
        <w:t>字段：头像（预设/颜色/已有资源）、名称（必填）、角色（必填，可自定义）、空间、可见性、简介、分类、标签。布局按参考图：头像与名称/角色形成紧凑分组；空间/可见性双列；简介多行；分类使用胶囊式选择；标签为可移除 Chip。</w:t>
      </w:r>
    </w:p>
    <w:p>
      <w:r>
        <w:t>字段绑定单一 AgentDraft 状态；输入即时校验，避免大段帮助文案。角色与简介不得与 Persona 高级配置重复存储出冲突；可使用角色简称与详细人设的清晰映射。</w:t>
      </w:r>
    </w:p>
    <w:p>
      <w:pPr>
        <w:pStyle w:val="Heading1"/>
      </w:pPr>
      <w:r>
        <w:t>6. 中栏：人设与提示词 Tab（M1.6-04）</w:t>
      </w:r>
    </w:p>
    <w:p>
      <w:r>
        <w:t>结构化人设字段：角色定位、专业背景、核心职责、工作原则、沟通风格、行为限制。提供高级 System Prompt 编辑器、来源分段预览、冲突提示。采用分组卡片、分栏与折叠高级区域，禁止将全部内容做成无层级的 TextArea 长列表。</w:t>
      </w:r>
    </w:p>
    <w:p>
      <w:r>
        <w:t>与 V1.5 PersonaCompiler 对接：保存时记录配置版本；执行时加载固定快照。必须验证结构化字段及自定义 Prompt 在真实 AgentRun 中生效。外部 Runtime 不支持某种注入时准确显示限制，不得假称成功。</w:t>
      </w:r>
    </w:p>
    <w:p>
      <w:pPr>
        <w:pStyle w:val="Heading1"/>
      </w:pPr>
      <w:r>
        <w:t>7. 中栏：Skills Tab（M1.6-05）</w:t>
      </w:r>
    </w:p>
    <w:p>
      <w:r>
        <w:t>Skills 以搜索 + 筛选 + 卡片列表呈现：名称、简短用途、版本、来源、启用状态、Runtime 兼容性、所需工具权限。支持添加/移除、启停、从本地导入符合既有规范的 SKILL.md 包；支持查看 Skill 详情和依赖，但默认界面不堆说明文字。</w:t>
      </w:r>
    </w:p>
    <w:p>
      <w:r>
        <w:t>严格区分 Skills（流程与指导）、Tools（执行能力）、MCP（工具服务）。勾选 Skill 不等于授权 Shell/文件/网络权限；兼容状态必须由 V1.5 capability/Policy 服务实时计算，失败原因可查看。</w:t>
      </w:r>
    </w:p>
    <w:p>
      <w:pPr>
        <w:pStyle w:val="Heading1"/>
      </w:pPr>
      <w:r>
        <w:t>8. 中栏：运行环境 Tab（M1.6-06）</w:t>
      </w:r>
    </w:p>
    <w:p>
      <w:r>
        <w:t>采用 Runtime 可搜索卡片选择器，不允许硬编码为有限几个名字的白名单。来源：V1.5 的已安装 Adapter、ACP 兼容发现、用户注册的自定义 Runtime。可展示 OpenCode、DeepSeek Harness、Qwen Code、Claude Code、Codex、Gemini CLI 等实际检测到的候选，但显示与否以真实 Registry/Adapter/本机状态为准。</w:t>
      </w:r>
    </w:p>
    <w:p>
      <w:r>
        <w:t>卡片字段：Runtime 名称/图标、协议类型、安装状态、版本、认证状态、Capabilities、模型/Provider、诊断按钮。选择后显示实例配置（本地二进制/服务地址、模型、超时、并发、环境变量引用等）；敏感值不得回显明文。</w:t>
      </w:r>
    </w:p>
    <w:p>
      <w:r>
        <w:t>Runtime ≠ Model Provider：Qwen Code 与 Qwen 模型、DeepSeek Harness 与 DeepSeek 模型必须明确区分。自定义 Runtime 配置要走 V1.5 统一 Adapter/ACP 契约，UI 不得自建私有执行路径。切换 Runtime 时保留草稿但重新评估 Skills、工具权限和模型兼容性。</w:t>
      </w:r>
    </w:p>
    <w:p>
      <w:pPr>
        <w:pStyle w:val="Heading1"/>
      </w:pPr>
      <w:r>
        <w:t>9. 中栏：高级设置 Tab（M1.6-07）</w:t>
      </w:r>
    </w:p>
    <w:p>
      <w:r>
        <w:t>工作目录、共享目录或 Git Worktree、工具授权、审批策略、超时、并发、预算、备用 Runtime。危险操作须显式审批；展示最小必要权限摘要。备用 Runtime 切换只在可安全重试边界进行，禁止未经授权转移未提交的工作区变更。</w:t>
      </w:r>
    </w:p>
    <w:p>
      <w:pPr>
        <w:pStyle w:val="Heading1"/>
      </w:pPr>
      <w:r>
        <w:t>10. 右栏：实时 Agent 预览（M1.6-08）</w:t>
      </w:r>
    </w:p>
    <w:p>
      <w:r>
        <w:t>显示头像、名称、角色、简介、标签、所属空间、可见性、Skills 摘要、Runtime/模型与真实连接状态。右侧数据从同一 AgentDraft 派生，不单独维护可能过期的副本。空字段显示“未配置”，不能填充虚构技能、假成功状态或营销示例。</w:t>
      </w:r>
    </w:p>
    <w:p>
      <w:r>
        <w:t>参考图的“使用示例”区改为可选的“任务示例”或“能力预览”，仅在模板确实提供示例时显示；普通空白 Agent 默认隐藏。右栏支持收起、独立滚动和键盘导航。</w:t>
      </w:r>
    </w:p>
    <w:p>
      <w:pPr>
        <w:pStyle w:val="Heading1"/>
      </w:pPr>
      <w:r>
        <w:t>11. 状态模型、组件拆分与数据流</w:t>
      </w:r>
    </w:p>
    <w:p>
      <w:r>
        <w:t>建议组件：AgentStudioShell、AgentTemplateSidebar、AgentEditorTabs、BasicInfoForm、PersonaEditor、SkillsPicker、RuntimePicker、AdvancedSettings、AgentLivePreview、AgentStudioFooter、RuntimeDiagnostics。</w:t>
      </w:r>
    </w:p>
    <w:p>
      <w:r>
        <w:t>建议状态：AgentDraft（单一真源）、dirty、validationErrors、activeTab、templateId、runtimeCapabilityResult、saving、mode。表单切换不丢草稿；关闭有未保存修改时确认；重复提交保护；异步检测结果必须防止过期响应覆盖新选择。</w:t>
      </w:r>
    </w:p>
    <w:p>
      <w:r>
        <w:t>数据流：现有 IPC → 领域服务 → AgentDraft 初始化 → 表单编辑 → schema 校验 → agent.create/update → SQLite 版本记录 → 刷新真实 Agent 列表/预览；Runtime/Skills 诊断单独异步读取，不得伪造。</w:t>
      </w:r>
    </w:p>
    <w:p>
      <w:pPr>
        <w:pStyle w:val="Heading1"/>
      </w:pPr>
      <w:r>
        <w:t>12. UI 文案与字体清晰度 P0 规范</w:t>
      </w:r>
    </w:p>
    <w:p>
      <w:pPr>
        <w:pStyle w:val="ListBullet"/>
      </w:pPr>
      <w:r>
        <w:t>移除解释性文案：不添加欢迎词、营销口号、功能宣传段落、重复解释字段的描述、冗长 placeholder。</w:t>
      </w:r>
    </w:p>
    <w:p>
      <w:pPr>
        <w:pStyle w:val="ListBullet"/>
      </w:pPr>
      <w:r>
        <w:t>仅保留必要标签、按钮、状态、校验错误、兼容性限制、危险权限说明。</w:t>
      </w:r>
    </w:p>
    <w:p>
      <w:pPr>
        <w:pStyle w:val="ListBullet"/>
      </w:pPr>
      <w:r>
        <w:t>正文默认 ≥14px，次要文字原则上 ≥13px；中文字体采用可靠系统回退，避免大面积 300 字重。</w:t>
      </w:r>
    </w:p>
    <w:p>
      <w:pPr>
        <w:pStyle w:val="ListBullet"/>
      </w:pPr>
      <w:r>
        <w:t>普通文字与背景对比度 ≥4.5:1，大字号标题 ≥3:1；禁用状态可按相应可访问性规范处理。</w:t>
      </w:r>
    </w:p>
    <w:p>
      <w:pPr>
        <w:pStyle w:val="ListBullet"/>
      </w:pPr>
      <w:r>
        <w:t>深浅主题分别验收；Electron 在 Windows 100%、125%、150% DPI 下检查清晰度和布局。</w:t>
      </w:r>
    </w:p>
    <w:p>
      <w:pPr>
        <w:pStyle w:val="ListBullet"/>
      </w:pPr>
      <w:r>
        <w:t>玻璃效果只用于侧栏、工具条、浮层等低密度区域；日志、表单、预览详细信息用清晰不透明背景。</w:t>
      </w:r>
    </w:p>
    <w:p>
      <w:pPr>
        <w:pStyle w:val="ListBullet"/>
      </w:pPr>
      <w:r>
        <w:t>图标不能代替必要文字标签；交互状态不能只依赖颜色。</w:t>
      </w:r>
    </w:p>
    <w:p>
      <w:pPr>
        <w:pStyle w:val="Heading1"/>
      </w:pPr>
      <w:r>
        <w:t>13. 响应式与可访问性</w:t>
      </w:r>
    </w:p>
    <w:p>
      <w:r>
        <w:t>≥1280px 三栏；约 960–1279px 左侧可收窄，右侧可折叠；更窄时模板以抽屉显示，预览以 Tab/抽屉显示，中间表单保持完整宽度。以上断点可按现有 Electron 最小窗口尺寸调整，必须实际测量。</w:t>
      </w:r>
    </w:p>
    <w:p>
      <w:r>
        <w:t>Tab 可用键盘操作；表单有可访问名称、错误关联、焦点可见；弹窗焦点陷阱、Esc 关闭规则和未保存确认正确；动效尊重 prefers-reduced-motion；禁止横向溢出与底部按钮遮挡。</w:t>
      </w:r>
    </w:p>
    <w:p>
      <w:pPr>
        <w:pStyle w:val="Heading1"/>
      </w:pPr>
      <w:r>
        <w:t>14. 安全、兼容与回归</w:t>
      </w:r>
    </w:p>
    <w:p>
      <w:r>
        <w:t>Renderer 不直接访问 SQLite、文件系统、密钥和子进程。所有写入通过既有 IPC 校验与授权。模板导入不得执行脚本或自动授予权限；配置导出移除 API Key、Token、敏感环境变量与不必要的机器路径。</w:t>
      </w:r>
    </w:p>
    <w:p>
      <w:r>
        <w:t>兼容现有 V1.3 Agent 工作流图的 agentId/runId、V1.4 调度与审批、V1.5 Agent 配置版本/Runtime Adapter。旧 Agent 可正确回填编辑，新字段有安全默认值，数据库迁移可回滚。</w:t>
      </w:r>
    </w:p>
    <w:p>
      <w:pPr>
        <w:pStyle w:val="Heading1"/>
      </w:pPr>
      <w:r>
        <w:t>15. 实施里程碑</w:t>
      </w:r>
    </w:p>
    <w:p>
      <w:r>
        <w:t xml:space="preserve">  |   编号   |   交付内容   |   验收门槛   |  </w:t>
      </w:r>
    </w:p>
    <w:p>
      <w:r>
        <w:t xml:space="preserve">  |  ---  |  ---  |  ---  |  </w:t>
      </w:r>
    </w:p>
    <w:p>
      <w:r>
        <w:t xml:space="preserve">  |   M1.6-00   |   现状审计、视觉差异矩阵   |   确认真实数据链路与复用边界   |  </w:t>
      </w:r>
    </w:p>
    <w:p>
      <w:r>
        <w:t xml:space="preserve">  |   M1.6-01   |   三栏 Shell、滚动与固定底栏   |   与参考图结构一致，窗口不溢出   |  </w:t>
      </w:r>
    </w:p>
    <w:p>
      <w:r>
        <w:t xml:space="preserve">  |   M1.6-02   |   模板导航、列表与空白创建   |   模板真实填充且可编辑   |  </w:t>
      </w:r>
    </w:p>
    <w:p>
      <w:r>
        <w:t xml:space="preserve">  |   M1.6-03   |   基础信息与 AgentDraft   |   校验、保存、编辑回填   |  </w:t>
      </w:r>
    </w:p>
    <w:p>
      <w:r>
        <w:t xml:space="preserve">  |   M1.6-04   |   Persona 编辑器   |   版本保存、真实注入验证   |  </w:t>
      </w:r>
    </w:p>
    <w:p>
      <w:r>
        <w:t xml:space="preserve">  |   M1.6-05   |   Skills 可视化管理   |   权限、兼容性与启停真实生效   |  </w:t>
      </w:r>
    </w:p>
    <w:p>
      <w:r>
        <w:t xml:space="preserve">  |   M1.6-06   |   Runtime 卡片与诊断   |   动态发现，真实连接状态   |  </w:t>
      </w:r>
    </w:p>
    <w:p>
      <w:r>
        <w:t xml:space="preserve">  |   M1.6-07   |   高级设置   |   权限与隔离策略生效   |  </w:t>
      </w:r>
    </w:p>
    <w:p>
      <w:r>
        <w:t xml:space="preserve">  |   M1.6-08   |   实时预览与响应式   |   同步、折叠、键盘交互   |  </w:t>
      </w:r>
    </w:p>
    <w:p>
      <w:r>
        <w:t xml:space="preserve">  |   M1.6-09   |   视觉回归与 E2E   |   参考图对比、深浅主题、DPI   |  </w:t>
      </w:r>
    </w:p>
    <w:p>
      <w:pPr>
        <w:pStyle w:val="Heading1"/>
      </w:pPr>
      <w:r>
        <w:t>16. 必须通过的测试用例</w:t>
      </w:r>
    </w:p>
    <w:p>
      <w:r>
        <w:t>T01 创建 Agent，名称/角色/头像/空间/分类/标签真实保存，重启后可恢复。</w:t>
      </w:r>
    </w:p>
    <w:p>
      <w:r>
        <w:t>T02 选择模板后表单自动填充，仍可编辑，不自动授予危险权限。</w:t>
      </w:r>
    </w:p>
    <w:p>
      <w:r>
        <w:t>T03 五个 Tab 往返切换不丢数据；关闭脏草稿有确认。</w:t>
      </w:r>
    </w:p>
    <w:p>
      <w:r>
        <w:t>T04 编辑已有 Agent 时全部配置准确回填；复制后产生新 ID。</w:t>
      </w:r>
    </w:p>
    <w:p>
      <w:r>
        <w:t>T05 Persona 修改生成新 revision，历史 AgentRun 保持原快照。</w:t>
      </w:r>
    </w:p>
    <w:p>
      <w:r>
        <w:t>T06 Skills 增删启停与真实绑定一致；不兼容时显示原因。</w:t>
      </w:r>
    </w:p>
    <w:p>
      <w:r>
        <w:t>T07 Runtime 列表来自动态 Registry/Adapter，不依赖硬编码白名单。</w:t>
      </w:r>
    </w:p>
    <w:p>
      <w:r>
        <w:t>T08 Runtime 未安装、未登录、服务不可达、模型不可用时显示真实状态。</w:t>
      </w:r>
    </w:p>
    <w:p>
      <w:r>
        <w:t>T09 更换 Runtime 后 Skills 兼容性、模型与权限重新计算。</w:t>
      </w:r>
    </w:p>
    <w:p>
      <w:r>
        <w:t>T10 右侧预览实时反映草稿，不显示虚构数据。</w:t>
      </w:r>
    </w:p>
    <w:p>
      <w:r>
        <w:t>T11 底部操作栏固定且可用；提交防重复；字段错误定位正确。</w:t>
      </w:r>
    </w:p>
    <w:p>
      <w:r>
        <w:t>T12 V1.3 图、V1.4 自动化与 V1.5 Runtime 执行回归通过。</w:t>
      </w:r>
    </w:p>
    <w:p>
      <w:r>
        <w:t>T13 Windows 100/125/150% DPI、浅色/深色主题下无模糊灰字、裁切或横向溢出。</w:t>
      </w:r>
    </w:p>
    <w:p>
      <w:r>
        <w:t>T14 键盘 Tab、焦点、Esc、错误提示和减少动效模式可用。</w:t>
      </w:r>
    </w:p>
    <w:p>
      <w:r>
        <w:t>T15 密钥不泄露，模板/Skill 不绕过 Policy Engine。</w:t>
      </w:r>
    </w:p>
    <w:p>
      <w:r>
        <w:t>T16 无源码的 Electron 打包环境中 Agent Studio 正常运行。</w:t>
      </w:r>
    </w:p>
    <w:p>
      <w:pPr>
        <w:pStyle w:val="Heading1"/>
      </w:pPr>
      <w:r>
        <w:t>17. 视觉回归与交付证据</w:t>
      </w:r>
    </w:p>
    <w:p>
      <w:r>
        <w:t>在真实 Electron 应用中分别截取：参考图对应的基础信息页、人设页、Skills 页、Runtime 页、深色主题、窄窗口。以参考图逐项对比：弹窗比例、三栏宽度、标题位置、Tab 高度、输入框尺寸、圆角、边框、阴影、图标、字号、间距、预览布局、固定底栏。</w:t>
      </w:r>
    </w:p>
    <w:p>
      <w:r>
        <w:t>不得只凭代码审查宣布完成。开发 AI 必须提供每轮截图、差异列表、修正记录及最终截图；若不能运行 Electron，应明确说明无法验证的项，不能声称视觉验收通过。</w:t>
      </w:r>
    </w:p>
    <w:p>
      <w:pPr>
        <w:pStyle w:val="Heading1"/>
      </w:pPr>
      <w:r>
        <w:t>18. 可直接交给 AI 编程 Agent 的执行指令</w:t>
      </w:r>
    </w:p>
    <w:p>
      <w:r>
        <w:t>你正在对真实 ProjectOS 代码库实施 V1.6。首先阅读本说明书和附带视觉参考图，并扫描现有 V1.3–V1.5 实现。先给出复用计划与差距清单，再分里程碑增量开发。不要重新发明 Agent、Skills、Runtime、ACP、Provider 或数据库服务。所有 UI 控件必须连接真实业务；不要用 Mock 结果冒充成功。视觉上严格还原参考图，保留 Apple 式现代极简、克制玻璃拟态、清晰高对比文字，并删除解释性/营销性文案。每完成一个里程碑执行类型检查、相关测试和真实 Electron 截图对比，修正后再进入下一步。最终提交文件清单、接口/迁移变化、测试结果、截图对比和遗留风险。</w:t>
      </w:r>
    </w:p>
    <w:p>
      <w:pPr>
        <w:pStyle w:val="Heading1"/>
      </w:pPr>
      <w:r>
        <w:t>19. 完成定义（Definition of Done）</w:t>
      </w:r>
    </w:p>
    <w:p>
      <w:r>
        <w:t>用户能够在高保真 Agent Studio 中选择模板或空白创建 Agent，独立配置名称、人设、Skills、开放式 Runtime 与权限，实时预览并保存；编辑/复制/归档功能真实可用；现有 V1.3–V1.5 功能不回退；深浅色和 DPI 测试合格；没有冗余解释性文案；视觉效果经过实际 Electron 截图比对验证。</w:t>
      </w:r>
    </w:p>
    <w:p>
      <w:r>
        <w:br w:type="page"/>
      </w:r>
    </w:p>
    <w:p>
      <w:pPr>
        <w:pStyle w:val="Heading1"/>
      </w:pPr>
      <w:r>
        <w:t>附录：Agent Studio 视觉参考图</w:t>
      </w:r>
    </w:p>
    <w:p>
      <w:r>
        <w:drawing>
          <wp:inline xmlns:a="http://schemas.openxmlformats.org/drawingml/2006/main" xmlns:pic="http://schemas.openxmlformats.org/drawingml/2006/picture">
            <wp:extent cx="6172200" cy="41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lean_modern_dark_light_macos_style_ui_mockup_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Microsoft YaHei" w:hAnsi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1B304C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1B304C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/>
      <w:color w:val="1B304C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