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400" w:lineRule="exact"/>
        <w:snapToGrid w:val="0"/>
      </w:pPr>
      <w:r>
        <w:rPr>
          <w:rFonts w:ascii="PingFang SC" w:hAnsi="PingFang SC" w:eastAsia="PingFang SC"/>
          <w:b/>
          <w:color w:val="000000"/>
          <w:sz w:val="30"/>
        </w:rPr>
        <w:t>三种分箱链路幅值精度测算</w:t>
      </w:r>
    </w:p>
    <w:p>
      <w:pPr>
        <w:spacing w:before="0" w:after="120" w:line="280" w:lineRule="exact"/>
        <w:snapToGrid w:val="0"/>
      </w:pPr>
      <w:r>
        <w:rPr>
          <w:rFonts w:ascii="PingFang SC" w:hAnsi="PingFang SC" w:eastAsia="PingFang SC"/>
          <w:b w:val="0"/>
          <w:color w:val="000000"/>
          <w:sz w:val="21"/>
        </w:rPr>
        <w:t>峰谷幅度误差　单位 %　数值越低越好；单元格为平均误差 / P95，P95 为有效周期误差的第 95 百分位。</w:t>
      </w:r>
    </w:p>
    <w:tbl>
      <w:tblPr>
        <w:tblW w:type="dxa" w:w="1564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2665"/>
        <w:gridCol w:w="2665"/>
        <w:gridCol w:w="2665"/>
        <w:gridCol w:w="2381"/>
        <w:gridCol w:w="2665"/>
      </w:tblGrid>
      <w:tr>
        <w:trPr>
          <w:cantSplit/>
          <w:tblHeader/>
        </w:trPr>
        <w:tc>
          <w:tcPr>
            <w:tcW w:type="dxa" w:w="2608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呼吸情况</w:t>
            </w:r>
          </w:p>
        </w:tc>
        <w:tc>
          <w:tcPr>
            <w:tcW w:type="dxa" w:w="2665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时间分箱</w:t>
              <w:br/>
              <w:t>平均 / P95</w:t>
            </w:r>
          </w:p>
        </w:tc>
        <w:tc>
          <w:tcPr>
            <w:tcW w:type="dxa" w:w="2665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带通幅值分箱</w:t>
              <w:br/>
              <w:t>平均 / P95</w:t>
            </w:r>
          </w:p>
        </w:tc>
        <w:tc>
          <w:tcPr>
            <w:tcW w:type="dxa" w:w="2665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低通幅值分箱</w:t>
              <w:br/>
              <w:t>平均 / P95</w:t>
            </w:r>
          </w:p>
        </w:tc>
        <w:tc>
          <w:tcPr>
            <w:tcW w:type="dxa" w:w="2381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共同有效周期</w:t>
              <w:br/>
              <w:t>实际 / 候选</w:t>
            </w:r>
          </w:p>
        </w:tc>
        <w:tc>
          <w:tcPr>
            <w:tcW w:type="dxa" w:w="2665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贡献完整周期的组数</w:t>
              <w:br/>
              <w:t>实际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正常呼吸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5.21 / 5.90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0.94 / 1.67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0.43 / 1.04  最优</w:t>
            </w:r>
          </w:p>
        </w:tc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340 / 340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呼吸急促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36.81 / 41.54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5.93 / 7.82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0.86 / 2.10  最优</w:t>
            </w:r>
          </w:p>
        </w:tc>
        <w:tc>
          <w:tcPr>
            <w:tcW w:type="dxa" w:w="2381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620 / 620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呼吸过缓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25.18 / 26.22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2.52 / 3.15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0.28 / 0.62  最优</w:t>
            </w:r>
          </w:p>
        </w:tc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140 / 140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浅呼吸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8.91 / 11.75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1.94 / 4.78  最优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2.32 / 5.14</w:t>
            </w:r>
          </w:p>
        </w:tc>
        <w:tc>
          <w:tcPr>
            <w:tcW w:type="dxa" w:w="2381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380 / 380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不规则呼吸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5.46 / 8.25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0.98 / 2.21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0.80 / 1.89  最优</w:t>
            </w:r>
          </w:p>
        </w:tc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320 / 320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屏气与呼吸暂停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5.27 / 16.74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1.19 / 3.87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0.98 / 3.21  最优</w:t>
            </w:r>
          </w:p>
        </w:tc>
        <w:tc>
          <w:tcPr>
            <w:tcW w:type="dxa" w:w="2381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300 / 300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噪声干扰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5.28 / 9.35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3.06 / 6.92  最优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3.50 / 7.94</w:t>
            </w:r>
          </w:p>
        </w:tc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340 / 340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体动伪影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5.50 / 8.63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2.05 / 6.49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1.88 / 5.88  最优</w:t>
            </w:r>
          </w:p>
        </w:tc>
        <w:tc>
          <w:tcPr>
            <w:tcW w:type="dxa" w:w="2381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42 / 340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13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深呼吸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13.12 / 14.17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1.08 / 1.58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0.20 / 0.50  最优</w:t>
            </w:r>
          </w:p>
        </w:tc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180 / 180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快速浅呼吸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44.71 / 51.72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7.00 / 11.66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2.46 / 6.12  最优</w:t>
            </w:r>
          </w:p>
        </w:tc>
        <w:tc>
          <w:tcPr>
            <w:tcW w:type="dxa" w:w="2381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700 / 700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基线漂移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7.23 / 9.38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2.34 / 4.27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0.74 / 1.66  最优</w:t>
            </w:r>
          </w:p>
        </w:tc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340 / 340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周期性减弱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4.33 / 8.44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0.71 / 2.03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0.42 / 0.97  最优</w:t>
            </w:r>
          </w:p>
        </w:tc>
        <w:tc>
          <w:tcPr>
            <w:tcW w:type="dxa" w:w="2381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260 / 260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低幅强噪声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5.91 / 13.45  最优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7.87 / 17.48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8.34 / 19.37</w:t>
            </w:r>
          </w:p>
        </w:tc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340 / 340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密集咳嗽与冲击伪影（样本少）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9.60 / 10.61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2.10 / 3.58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1.45 / 2.48</w:t>
            </w:r>
          </w:p>
        </w:tc>
        <w:tc>
          <w:tcPr>
            <w:tcW w:type="dxa" w:w="2381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 / 380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单次局部咳嗽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5.19 / 6.01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0.90 / 1.64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0.44 / 1.02  最优</w:t>
            </w:r>
          </w:p>
        </w:tc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228 / 340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间歇局部咳嗽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5.02 / 5.87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0.96 / 1.65</w:t>
            </w:r>
          </w:p>
        </w:tc>
        <w:tc>
          <w:tcPr>
            <w:tcW w:type="dxa" w:w="266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DDF1E7"/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</w:rPr>
              <w:t>0.42 / 0.97  最优</w:t>
            </w:r>
          </w:p>
        </w:tc>
        <w:tc>
          <w:tcPr>
            <w:tcW w:type="dxa" w:w="2381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180 / 340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20 / 20</w:t>
            </w:r>
          </w:p>
        </w:tc>
      </w:tr>
    </w:tbl>
    <w:p>
      <w:pPr>
        <w:spacing w:before="140" w:after="80" w:line="280" w:lineRule="exact"/>
        <w:snapToGrid w:val="0"/>
      </w:pPr>
      <w:r>
        <w:rPr>
          <w:rFonts w:ascii="PingFang SC" w:hAnsi="PingFang SC" w:eastAsia="PingFang SC"/>
          <w:b w:val="0"/>
          <w:color w:val="222222"/>
          <w:sz w:val="21"/>
        </w:rPr>
        <w:t>绿底粗体及“最优”表示本批样本的平均幅度误差最低，不代表所有指标都最优；密集咳嗽仅 4 个共同有效周期，不排名。每场景 20 组，三条链路使用相同有效周期。</w:t>
      </w:r>
    </w:p>
    <w:p>
      <w:pPr>
        <w:spacing w:before="0" w:after="0" w:line="280" w:lineRule="exact"/>
        <w:snapToGrid w:val="0"/>
      </w:pPr>
      <w:r>
        <w:rPr>
          <w:rFonts w:ascii="PingFang SC" w:hAnsi="PingFang SC" w:eastAsia="PingFang SC"/>
          <w:b w:val="0"/>
          <w:color w:val="000000"/>
          <w:sz w:val="21"/>
        </w:rPr>
        <w:t>本批数据中，低通在 12 个可比较场景的平均误差最小；浅呼吸、噪声干扰由幅值带通更低，低幅强噪声由时间链路更低。</w:t>
      </w:r>
    </w:p>
    <w:p>
      <w:r>
        <w:br w:type="page"/>
      </w:r>
    </w:p>
    <w:p>
      <w:pPr>
        <w:spacing w:after="140" w:line="400" w:lineRule="exact"/>
      </w:pPr>
      <w:r>
        <w:rPr>
          <w:rFonts w:ascii="PingFang SC" w:hAnsi="PingFang SC" w:eastAsia="PingFang SC"/>
          <w:b/>
          <w:color w:val="000000"/>
          <w:sz w:val="30"/>
        </w:rPr>
        <w:t>各呼吸情况下的幅度误差对比  1</w:t>
      </w:r>
    </w:p>
    <w:p>
      <w:pPr>
        <w:spacing w:after="80" w:line="280" w:lineRule="exact"/>
      </w:pPr>
      <w:r>
        <w:rPr>
          <w:rFonts w:ascii="PingFang SC" w:hAnsi="PingFang SC" w:eastAsia="PingFang SC"/>
          <w:b w:val="0"/>
          <w:color w:val="222222"/>
          <w:sz w:val="21"/>
        </w:rPr>
        <w:t>条形为平均误差，细线延伸至 P95；越短越好。绿底与“最优”突出平均误差最低方案。各小图横轴独立缩放，请结合刻度比较。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9936000" cy="5769290"/>
            <wp:docPr id="1" name="Picture 1" descr="同一批模拟样本的三条链路平均峰谷幅度误差及P95。绿色强调各场景平均误差最小方案。密集咳嗽样本不足不排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36000" cy="5769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40" w:line="400" w:lineRule="exact"/>
      </w:pPr>
      <w:r>
        <w:rPr>
          <w:rFonts w:ascii="PingFang SC" w:hAnsi="PingFang SC" w:eastAsia="PingFang SC"/>
          <w:b/>
          <w:color w:val="000000"/>
          <w:sz w:val="30"/>
        </w:rPr>
        <w:t>各呼吸情况下的幅度误差对比  2</w:t>
      </w:r>
    </w:p>
    <w:p>
      <w:pPr>
        <w:spacing w:after="80" w:line="280" w:lineRule="exact"/>
      </w:pPr>
      <w:r>
        <w:rPr>
          <w:rFonts w:ascii="PingFang SC" w:hAnsi="PingFang SC" w:eastAsia="PingFang SC"/>
          <w:b w:val="0"/>
          <w:color w:val="222222"/>
          <w:sz w:val="21"/>
        </w:rPr>
        <w:t>条形为平均误差，细线延伸至 P95；越短越好。绿底与“最优”突出平均误差最低方案。各小图横轴独立缩放，请结合刻度比较。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9936000" cy="5769290"/>
            <wp:docPr id="2" name="Picture 2" descr="同一批模拟样本的三条链路平均峰谷幅度误差及P95。绿色强调各场景平均误差最小方案。密集咳嗽样本不足不排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36000" cy="5769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40" w:line="400" w:lineRule="exact"/>
        <w:snapToGrid w:val="0"/>
      </w:pPr>
      <w:r>
        <w:rPr>
          <w:rFonts w:ascii="PingFang SC" w:hAnsi="PingFang SC" w:eastAsia="PingFang SC"/>
          <w:b/>
          <w:color w:val="000000"/>
          <w:sz w:val="30"/>
        </w:rPr>
        <w:t>整条曲线的幅值拟合误差</w:t>
      </w:r>
    </w:p>
    <w:p>
      <w:pPr>
        <w:spacing w:before="0" w:after="120" w:line="280" w:lineRule="exact"/>
        <w:snapToGrid w:val="0"/>
      </w:pPr>
      <w:r>
        <w:rPr>
          <w:rFonts w:ascii="PingFang SC" w:hAnsi="PingFang SC" w:eastAsia="PingFang SC"/>
          <w:b w:val="0"/>
          <w:color w:val="222222"/>
          <w:sz w:val="21"/>
        </w:rPr>
        <w:t>NRMSE 单位 %，越低越好。左值对照含慢基线真值，右值对照去漂移真值；绿底数字分别标出对应口径下的最小误差，密集咳嗽不排名。</w:t>
      </w:r>
    </w:p>
    <w:tbl>
      <w:tblPr>
        <w:tblW w:type="dxa" w:w="1564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3458"/>
        <w:gridCol w:w="3458"/>
        <w:gridCol w:w="3458"/>
        <w:gridCol w:w="2665"/>
      </w:tblGrid>
      <w:tr>
        <w:trPr>
          <w:cantSplit/>
          <w:tblHeader/>
        </w:trPr>
        <w:tc>
          <w:tcPr>
            <w:tcW w:type="dxa" w:w="2608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呼吸情况</w:t>
            </w:r>
          </w:p>
        </w:tc>
        <w:tc>
          <w:tcPr>
            <w:tcW w:type="dxa" w:w="3458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时间分箱</w:t>
              <w:br/>
              <w:t>含基线真值 / 去漂移真值</w:t>
            </w:r>
          </w:p>
        </w:tc>
        <w:tc>
          <w:tcPr>
            <w:tcW w:type="dxa" w:w="3458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带通幅值分箱</w:t>
              <w:br/>
              <w:t>含基线真值 / 去漂移真值</w:t>
            </w:r>
          </w:p>
        </w:tc>
        <w:tc>
          <w:tcPr>
            <w:tcW w:type="dxa" w:w="3458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低通幅值分箱</w:t>
              <w:br/>
              <w:t>含基线真值 / 去漂移真值</w:t>
            </w:r>
          </w:p>
        </w:tc>
        <w:tc>
          <w:tcPr>
            <w:tcW w:type="dxa" w:w="2665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归一化分母</w:t>
              <w:br/>
              <w:t>真值典型峰谷差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正常呼吸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3.99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3.79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1.25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1.09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0.42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1.61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186.43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呼吸急促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13.38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13.26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2.92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2.82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0.93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2.46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127.10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呼吸过缓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10.20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10.14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1.40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1.29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0.23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1.60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228.80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浅呼吸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5.80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5.01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3.13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2.86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2.14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4.14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61.01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不规则呼吸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4.37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4.02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1.56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1.63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0.73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2.55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177.95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屏气与呼吸暂停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3.66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3.21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1.67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1.03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0.45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1.69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177.95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噪声干扰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5.29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4.42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3.66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3.35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2.92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4.61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161.00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体动伪影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8.11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6.65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7.28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6.12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2.77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5.70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177.96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深呼吸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5.20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5.11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0.92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0.55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0.18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1.02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288.12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快速浅呼吸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16.41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16.09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4.71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4.35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2.56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4.74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54.23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基线漂移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13.22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7.88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8.60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7.23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0.67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13.03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155.92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周期性减弱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3.71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3.48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1.48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1.39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0.41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1.90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194.90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低幅强噪声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12.91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8.19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10.14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9.06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6.60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13.83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47.45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密集咳嗽与冲击伪影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8.27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7.22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7.69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6.79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2.24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4.37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138.98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单次局部咳嗽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4.00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3.90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1.25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1.44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0.44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1.59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186.43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间歇局部咳嗽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4.00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3.80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1.24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1.05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08774A"/>
                <w:sz w:val="21"/>
                <w:shd w:fill="DDF1E7"/>
              </w:rPr>
              <w:t>0.43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 xml:space="preserve"> / </w:t>
            </w: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1.57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186.43</w:t>
            </w:r>
          </w:p>
        </w:tc>
      </w:tr>
    </w:tbl>
    <w:p>
      <w:pPr>
        <w:spacing w:before="140" w:after="80" w:line="280" w:lineRule="exact"/>
        <w:snapToGrid w:val="0"/>
      </w:pPr>
      <w:r>
        <w:rPr>
          <w:rFonts w:ascii="PingFang SC" w:hAnsi="PingFang SC" w:eastAsia="PingFang SC"/>
          <w:b w:val="0"/>
          <w:color w:val="000000"/>
          <w:sz w:val="21"/>
        </w:rPr>
        <w:t>两种真值仅改变评分参照，不改变滤波输出；不做时间平移、增益拟合或基线对齐。分母为该一分钟内无漂移呼吸真值的完整周期峰谷差中位数。</w:t>
      </w:r>
    </w:p>
    <w:p>
      <w:pPr>
        <w:spacing w:before="0" w:after="0" w:line="280" w:lineRule="exact"/>
        <w:snapToGrid w:val="0"/>
      </w:pPr>
      <w:r>
        <w:rPr>
          <w:rFonts w:ascii="PingFang SC" w:hAnsi="PingFang SC" w:eastAsia="PingFang SC"/>
          <w:b w:val="0"/>
          <w:color w:val="000000"/>
          <w:sz w:val="21"/>
        </w:rPr>
        <w:t>基线漂移场景：低通对含基线真值误差为 0.67%，对去漂移真值为 13.03%。保留慢变化不等于消除传感器漂移。低幅强噪声的峰谷差更接近，也不代表整条曲线更接近。</w:t>
      </w:r>
    </w:p>
    <w:p>
      <w:r>
        <w:br w:type="page"/>
      </w:r>
    </w:p>
    <w:p>
      <w:pPr>
        <w:spacing w:before="0" w:after="140" w:line="400" w:lineRule="exact"/>
        <w:snapToGrid w:val="0"/>
      </w:pPr>
      <w:r>
        <w:rPr>
          <w:rFonts w:ascii="PingFang SC" w:hAnsi="PingFang SC" w:eastAsia="PingFang SC"/>
          <w:b/>
          <w:color w:val="000000"/>
          <w:sz w:val="30"/>
        </w:rPr>
        <w:t>质量排除与实际分箱覆盖</w:t>
      </w:r>
    </w:p>
    <w:p>
      <w:pPr>
        <w:spacing w:before="0" w:after="120" w:line="280" w:lineRule="exact"/>
        <w:snapToGrid w:val="0"/>
      </w:pPr>
      <w:r>
        <w:rPr>
          <w:rFonts w:ascii="PingFang SC" w:hAnsi="PingFang SC" w:eastAsia="PingFang SC"/>
          <w:b w:val="0"/>
          <w:color w:val="000000"/>
          <w:sz w:val="21"/>
        </w:rPr>
        <w:t>前三列数值为质量有效率 / 实际分箱覆盖率，单位 %，均为 20 组的平均值。共同有效时长是三条链路都通过质量规则的部分。</w:t>
      </w:r>
    </w:p>
    <w:tbl>
      <w:tblPr>
        <w:tblW w:type="dxa" w:w="1564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3458"/>
        <w:gridCol w:w="3458"/>
        <w:gridCol w:w="3458"/>
        <w:gridCol w:w="2665"/>
      </w:tblGrid>
      <w:tr>
        <w:trPr>
          <w:cantSplit/>
          <w:tblHeader/>
        </w:trPr>
        <w:tc>
          <w:tcPr>
            <w:tcW w:type="dxa" w:w="2608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呼吸情况</w:t>
            </w:r>
          </w:p>
        </w:tc>
        <w:tc>
          <w:tcPr>
            <w:tcW w:type="dxa" w:w="3458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时间分箱</w:t>
              <w:br/>
              <w:t>质量有效 / 实际分箱</w:t>
            </w:r>
          </w:p>
        </w:tc>
        <w:tc>
          <w:tcPr>
            <w:tcW w:type="dxa" w:w="3458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带通幅值分箱</w:t>
              <w:br/>
              <w:t>质量有效 / 实际分箱</w:t>
            </w:r>
          </w:p>
        </w:tc>
        <w:tc>
          <w:tcPr>
            <w:tcW w:type="dxa" w:w="3458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低通幅值分箱</w:t>
              <w:br/>
              <w:t>质量有效 / 实际分箱</w:t>
            </w:r>
          </w:p>
        </w:tc>
        <w:tc>
          <w:tcPr>
            <w:tcW w:type="dxa" w:w="2665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共同有效时长</w:t>
              <w:br/>
              <w:t>平均秒数 / 60秒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正常呼吸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99.97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90.14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88.80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60.00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呼吸急促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99.97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90.21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79.27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60.00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呼吸过缓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95.77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90.34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85.83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60.00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浅呼吸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99.97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90.14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86.90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60.00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不规则呼吸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99.97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90.27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88.62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60.00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屏气与呼吸暂停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99.97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90.28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91.00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60.00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噪声干扰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99.97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90.18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87.78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60.00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体动伪影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60.11 / 19.61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42.62 / 12.91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67.15 / 20.11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24.37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深呼吸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96.38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89.12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88.10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60.00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快速浅呼吸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99.97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90.03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78.08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60.00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基线漂移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99.97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90.18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80.00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60.00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周期性减弱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98.40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89.21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88.79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60.00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低幅强噪声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99.97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90.28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100.00 / 82.00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60.00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密集咳嗽与冲击伪影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23.30 / 0.81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31.12 / 1.02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36.41 / 3.10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11.86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单次局部咳嗽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93.46 / 87.37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74.89 / 62.11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97.04 / 81.24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44.79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间歇局部咳嗽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75.96 / 51.03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92.55 / 60.33</w:t>
            </w:r>
          </w:p>
        </w:tc>
        <w:tc>
          <w:tcPr>
            <w:tcW w:type="dxa" w:w="345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92.15 / 59.21</w:t>
            </w:r>
          </w:p>
        </w:tc>
        <w:tc>
          <w:tcPr>
            <w:tcW w:type="dxa" w:w="266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45.58</w:t>
            </w:r>
          </w:p>
        </w:tc>
      </w:tr>
    </w:tbl>
    <w:p>
      <w:pPr>
        <w:spacing w:before="140" w:after="80" w:line="280" w:lineRule="exact"/>
        <w:snapToGrid w:val="0"/>
      </w:pPr>
      <w:r>
        <w:rPr>
          <w:rFonts w:ascii="PingFang SC" w:hAnsi="PingFang SC" w:eastAsia="PingFang SC"/>
          <w:b w:val="0"/>
          <w:color w:val="000000"/>
          <w:sz w:val="21"/>
        </w:rPr>
        <w:t>“质量有效”仅指未被当前软件的伪影、滤波边界、过短片段等规则排除；不保证已识别到完整呼吸，也不保证可以用于 CT 重建。</w:t>
      </w:r>
    </w:p>
    <w:p>
      <w:pPr>
        <w:spacing w:before="0" w:after="80" w:line="280" w:lineRule="exact"/>
        <w:snapToGrid w:val="0"/>
      </w:pPr>
      <w:r>
        <w:rPr>
          <w:rFonts w:ascii="PingFang SC" w:hAnsi="PingFang SC" w:eastAsia="PingFang SC"/>
          <w:b w:val="0"/>
          <w:color w:val="000000"/>
          <w:sz w:val="21"/>
        </w:rPr>
        <w:t>两条幅值链路共用幅值带通结果的 P5～P95 上下界，范围外不分箱。因此低通覆盖率较低可能来自幅值恢复后越界，不能直接当作滤波更差。</w:t>
      </w:r>
    </w:p>
    <w:p>
      <w:pPr>
        <w:spacing w:before="0" w:after="0" w:line="280" w:lineRule="exact"/>
        <w:snapToGrid w:val="0"/>
      </w:pPr>
      <w:r>
        <w:rPr>
          <w:rFonts w:ascii="PingFang SC" w:hAnsi="PingFang SC" w:eastAsia="PingFang SC"/>
          <w:b w:val="0"/>
          <w:color w:val="000000"/>
          <w:sz w:val="21"/>
        </w:rPr>
        <w:t>密集咳嗽的实际分箱覆盖率仅为 0.81% / 1.02% / 3.10%；误差只代表保留下来的局部片段。屏气预设仍保留 8% 的呼吸振幅，当前分箱覆盖率不是屏气识别准确率。</w:t>
      </w:r>
    </w:p>
    <w:p>
      <w:r>
        <w:br w:type="page"/>
      </w:r>
    </w:p>
    <w:p>
      <w:pPr>
        <w:spacing w:before="0" w:after="140" w:line="400" w:lineRule="exact"/>
        <w:snapToGrid w:val="0"/>
      </w:pPr>
      <w:r>
        <w:rPr>
          <w:rFonts w:ascii="PingFang SC" w:hAnsi="PingFang SC" w:eastAsia="PingFang SC"/>
          <w:b/>
          <w:color w:val="000000"/>
          <w:sz w:val="30"/>
        </w:rPr>
        <w:t>缓冲长度对照测算</w:t>
      </w:r>
    </w:p>
    <w:p>
      <w:pPr>
        <w:spacing w:before="0" w:after="120" w:line="280" w:lineRule="exact"/>
        <w:snapToGrid w:val="0"/>
      </w:pPr>
      <w:r>
        <w:rPr>
          <w:rFonts w:ascii="PingFang SC" w:hAnsi="PingFang SC" w:eastAsia="PingFang SC"/>
          <w:b w:val="0"/>
          <w:color w:val="000000"/>
          <w:sz w:val="21"/>
        </w:rPr>
        <w:t>只将时间链路的前后缓冲由各 5 秒增至各 20 秒，其余参数与原始数据不变；使用这两次处理共同有效的完整周期。</w:t>
      </w:r>
    </w:p>
    <w:tbl>
      <w:tblPr>
        <w:tblW w:type="dxa" w:w="1564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3175"/>
        <w:gridCol w:w="3175"/>
        <w:gridCol w:w="3175"/>
        <w:gridCol w:w="3118"/>
      </w:tblGrid>
      <w:tr>
        <w:trPr>
          <w:cantSplit/>
          <w:tblHeader/>
        </w:trPr>
        <w:tc>
          <w:tcPr>
            <w:tcW w:type="dxa" w:w="3005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呼吸情况</w:t>
            </w:r>
          </w:p>
        </w:tc>
        <w:tc>
          <w:tcPr>
            <w:tcW w:type="dxa" w:w="3175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前后各 5 秒</w:t>
              <w:br/>
              <w:t>平均幅度误差 %</w:t>
            </w:r>
          </w:p>
        </w:tc>
        <w:tc>
          <w:tcPr>
            <w:tcW w:type="dxa" w:w="3175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前后各 20 秒</w:t>
              <w:br/>
              <w:t>平均幅度误差 %</w:t>
            </w:r>
          </w:p>
        </w:tc>
        <w:tc>
          <w:tcPr>
            <w:tcW w:type="dxa" w:w="3175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20秒减5秒</w:t>
              <w:br/>
              <w:t>误差变化 百分点</w:t>
            </w:r>
          </w:p>
        </w:tc>
        <w:tc>
          <w:tcPr>
            <w:tcW w:type="dxa" w:w="3118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1"/>
              </w:rPr>
              <w:t>共同有效周期数</w:t>
              <w:br/>
              <w:t>20组累计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正常呼吸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5.21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5.20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-0.0027</w:t>
            </w:r>
          </w:p>
        </w:tc>
        <w:tc>
          <w:tcPr>
            <w:tcW w:type="dxa" w:w="311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340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呼吸急促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36.81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36.81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-0.0061</w:t>
            </w:r>
          </w:p>
        </w:tc>
        <w:tc>
          <w:tcPr>
            <w:tcW w:type="dxa" w:w="311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620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呼吸过缓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25.18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25.17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-0.0028</w:t>
            </w:r>
          </w:p>
        </w:tc>
        <w:tc>
          <w:tcPr>
            <w:tcW w:type="dxa" w:w="311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140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浅呼吸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8.91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8.90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-0.0064</w:t>
            </w:r>
          </w:p>
        </w:tc>
        <w:tc>
          <w:tcPr>
            <w:tcW w:type="dxa" w:w="311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380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不规则呼吸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5.46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5.45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-0.0075</w:t>
            </w:r>
          </w:p>
        </w:tc>
        <w:tc>
          <w:tcPr>
            <w:tcW w:type="dxa" w:w="311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320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屏气与呼吸暂停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5.27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5.29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+0.0177</w:t>
            </w:r>
          </w:p>
        </w:tc>
        <w:tc>
          <w:tcPr>
            <w:tcW w:type="dxa" w:w="311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300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噪声干扰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5.28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5.27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-0.0033</w:t>
            </w:r>
          </w:p>
        </w:tc>
        <w:tc>
          <w:tcPr>
            <w:tcW w:type="dxa" w:w="311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340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体动伪影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5.84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5.83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-0.0037</w:t>
            </w:r>
          </w:p>
        </w:tc>
        <w:tc>
          <w:tcPr>
            <w:tcW w:type="dxa" w:w="311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61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深呼吸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13.12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13.10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-0.0141</w:t>
            </w:r>
          </w:p>
        </w:tc>
        <w:tc>
          <w:tcPr>
            <w:tcW w:type="dxa" w:w="311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快速浅呼吸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44.71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44.72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+0.0079</w:t>
            </w:r>
          </w:p>
        </w:tc>
        <w:tc>
          <w:tcPr>
            <w:tcW w:type="dxa" w:w="311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700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基线漂移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7.23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7.23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+0.0018</w:t>
            </w:r>
          </w:p>
        </w:tc>
        <w:tc>
          <w:tcPr>
            <w:tcW w:type="dxa" w:w="311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340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周期性减弱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4.33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4.33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+0.0031</w:t>
            </w:r>
          </w:p>
        </w:tc>
        <w:tc>
          <w:tcPr>
            <w:tcW w:type="dxa" w:w="311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260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低幅强噪声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5.91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5.91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-0.0033</w:t>
            </w:r>
          </w:p>
        </w:tc>
        <w:tc>
          <w:tcPr>
            <w:tcW w:type="dxa" w:w="311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340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密集咳嗽与冲击伪影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9.60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9.60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+0.0000</w:t>
            </w:r>
          </w:p>
        </w:tc>
        <w:tc>
          <w:tcPr>
            <w:tcW w:type="dxa" w:w="311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单次局部咳嗽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5.21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5.21</w:t>
            </w:r>
          </w:p>
        </w:tc>
        <w:tc>
          <w:tcPr>
            <w:tcW w:type="dxa" w:w="3175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+0.0018</w:t>
            </w:r>
          </w:p>
        </w:tc>
        <w:tc>
          <w:tcPr>
            <w:tcW w:type="dxa" w:w="311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291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间歇局部咳嗽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5.02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5.01</w:t>
            </w:r>
          </w:p>
        </w:tc>
        <w:tc>
          <w:tcPr>
            <w:tcW w:type="dxa" w:w="3175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-0.0003</w:t>
            </w:r>
          </w:p>
        </w:tc>
        <w:tc>
          <w:tcPr>
            <w:tcW w:type="dxa" w:w="3118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1"/>
              </w:rPr>
              <w:t>180</w:t>
            </w:r>
          </w:p>
        </w:tc>
      </w:tr>
    </w:tbl>
    <w:p>
      <w:pPr>
        <w:spacing w:before="140" w:after="80" w:line="280" w:lineRule="exact"/>
        <w:snapToGrid w:val="0"/>
      </w:pPr>
      <w:r>
        <w:rPr>
          <w:rFonts w:ascii="PingFang SC" w:hAnsi="PingFang SC" w:eastAsia="PingFang SC"/>
          <w:b w:val="0"/>
          <w:color w:val="000000"/>
          <w:sz w:val="21"/>
        </w:rPr>
        <w:t>本批数据的平均幅度误差变化均不足 0.02 个百分点。急促、过缓和快速浅呼吸的较大衰减主要不能靠增加缓冲消除。</w:t>
      </w:r>
    </w:p>
    <w:p>
      <w:pPr>
        <w:spacing w:before="0" w:after="0" w:line="280" w:lineRule="exact"/>
        <w:snapToGrid w:val="0"/>
      </w:pPr>
      <w:r>
        <w:rPr>
          <w:rFonts w:ascii="PingFang SC" w:hAnsi="PingFang SC" w:eastAsia="PingFang SC"/>
          <w:b w:val="0"/>
          <w:color w:val="000000"/>
          <w:sz w:val="21"/>
        </w:rPr>
        <w:t>这不意味着任何数据前后 5 秒都足够：结论只针对当前时间链路参数和所测一分钟区间。两条幅值链路在主表中均使用前后各 20 秒；遇到局部伪影，仍按各自滤波响应排除受影响区间。</w:t>
      </w:r>
    </w:p>
    <w:p>
      <w:r>
        <w:br w:type="page"/>
      </w:r>
    </w:p>
    <w:p>
      <w:pPr>
        <w:spacing w:before="0" w:after="140" w:line="400" w:lineRule="exact"/>
        <w:snapToGrid w:val="0"/>
      </w:pPr>
      <w:r>
        <w:rPr>
          <w:rFonts w:ascii="PingFang SC" w:hAnsi="PingFang SC" w:eastAsia="PingFang SC"/>
          <w:b/>
          <w:color w:val="000000"/>
          <w:sz w:val="30"/>
        </w:rPr>
        <w:t>测算参数与统计口径</w:t>
      </w:r>
    </w:p>
    <w:tbl>
      <w:tblPr>
        <w:tblW w:type="dxa" w:w="1564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592"/>
        <w:gridCol w:w="4592"/>
        <w:gridCol w:w="4649"/>
      </w:tblGrid>
      <w:tr>
        <w:trPr>
          <w:cantSplit/>
          <w:tblHeader/>
        </w:trPr>
        <w:tc>
          <w:tcPr>
            <w:tcW w:type="dxa" w:w="1814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0"/>
              </w:rPr>
              <w:t>参数</w:t>
            </w:r>
          </w:p>
        </w:tc>
        <w:tc>
          <w:tcPr>
            <w:tcW w:type="dxa" w:w="4592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0"/>
              </w:rPr>
              <w:t>时间分箱</w:t>
            </w:r>
          </w:p>
        </w:tc>
        <w:tc>
          <w:tcPr>
            <w:tcW w:type="dxa" w:w="4592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0"/>
              </w:rPr>
              <w:t>带通幅值分箱</w:t>
            </w:r>
          </w:p>
        </w:tc>
        <w:tc>
          <w:tcPr>
            <w:tcW w:type="dxa" w:w="4649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0"/>
              </w:rPr>
              <w:t>低通幅值分箱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滤波设置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Butterworth 带通</w:t>
              <w:br/>
              <w:t>0.10～0.6667 Hz，阶数参数 1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Butterworth 带通</w:t>
              <w:br/>
              <w:t>0.03～2.00 Hz，阶数参数 1</w:t>
            </w:r>
          </w:p>
        </w:tc>
        <w:tc>
          <w:tcPr>
            <w:tcW w:type="dxa" w:w="4649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Butterworth 低通</w:t>
              <w:br/>
              <w:t>截止 2.00 Hz，4 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共用步骤</w:t>
            </w:r>
          </w:p>
        </w:tc>
        <w:tc>
          <w:tcPr>
            <w:tcW w:type="dxa" w:w="4592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双向滤波及高斯平滑 σ=1</w:t>
            </w:r>
          </w:p>
        </w:tc>
        <w:tc>
          <w:tcPr>
            <w:tcW w:type="dxa" w:w="4592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双向滤波及高斯平滑 σ=1</w:t>
            </w:r>
          </w:p>
        </w:tc>
        <w:tc>
          <w:tcPr>
            <w:tcW w:type="dxa" w:w="4649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双向滤波及高斯平滑 σ=1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基线处理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估计并加回常量偏移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估计并加回常量偏移</w:t>
            </w:r>
          </w:p>
        </w:tc>
        <w:tc>
          <w:tcPr>
            <w:tcW w:type="dxa" w:w="4649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直接保留基线与慢变化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实际原始缓冲</w:t>
            </w:r>
          </w:p>
        </w:tc>
        <w:tc>
          <w:tcPr>
            <w:tcW w:type="dxa" w:w="4592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前后各 250 点，即各 5 秒</w:t>
            </w:r>
          </w:p>
        </w:tc>
        <w:tc>
          <w:tcPr>
            <w:tcW w:type="dxa" w:w="4592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前后各 1000 点，即各 20 秒</w:t>
            </w:r>
          </w:p>
        </w:tc>
        <w:tc>
          <w:tcPr>
            <w:tcW w:type="dxa" w:w="4649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前后各 1000 点，即各 20 秒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分箱方式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每周期 10 箱，吸呼各 5 箱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固定幅值，吸呼各 5 箱</w:t>
            </w:r>
          </w:p>
        </w:tc>
        <w:tc>
          <w:tcPr>
            <w:tcW w:type="dxa" w:w="4649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固定幅值，吸呼各 5 箱</w:t>
            </w:r>
          </w:p>
        </w:tc>
      </w:tr>
    </w:tbl>
    <w:p>
      <w:pPr>
        <w:spacing w:before="140" w:after="120" w:line="280" w:lineRule="exact"/>
        <w:snapToGrid w:val="0"/>
      </w:pPr>
      <w:r>
        <w:rPr>
          <w:rFonts w:ascii="PingFang SC" w:hAnsi="PingFang SC" w:eastAsia="PingFang SC"/>
          <w:b w:val="0"/>
          <w:color w:val="000000"/>
          <w:sz w:val="21"/>
        </w:rPr>
        <w:t>采样 50 Hz；每组连续生成 300 秒，截取 180～240 秒的一分钟。14 个现有预设加单次、间歇咳嗽，共 16 场景；每场景种子 42～61，合计 320 组、960 次主链路处理，另做 320 次缓冲对照。</w:t>
      </w:r>
    </w:p>
    <w:tbl>
      <w:tblPr>
        <w:tblW w:type="dxa" w:w="1564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3833"/>
      </w:tblGrid>
      <w:tr>
        <w:trPr>
          <w:cantSplit/>
          <w:tblHeader/>
        </w:trPr>
        <w:tc>
          <w:tcPr>
            <w:tcW w:type="dxa" w:w="1814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0"/>
              </w:rPr>
              <w:t>统计项</w:t>
            </w:r>
          </w:p>
        </w:tc>
        <w:tc>
          <w:tcPr>
            <w:tcW w:type="dxa" w:w="13833"/>
            <w:vAlign w:val="center"/>
            <w:shd w:fill="E8F1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  <w:snapToGrid w:val="0"/>
            </w:pPr>
            <w:r>
              <w:rPr>
                <w:rFonts w:ascii="PingFang SC" w:hAnsi="PingFang SC" w:eastAsia="PingFang SC"/>
                <w:b/>
                <w:color w:val="222222"/>
                <w:sz w:val="20"/>
              </w:rPr>
              <w:t>定义与边界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无噪声真值</w:t>
            </w:r>
          </w:p>
        </w:tc>
        <w:tc>
          <w:tcPr>
            <w:tcW w:type="dxa" w:w="13833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由模拟器相同相位直接计算，保留配置的慢基线和呼吸幅度变化；不含噪声、冲击伪影、取整和截幅。去漂移真值另外移除已知模拟慢漂移。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幅度误差</w:t>
            </w:r>
          </w:p>
        </w:tc>
        <w:tc>
          <w:tcPr>
            <w:tcW w:type="dxa" w:w="13833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每个真值周期计算 100 × |滤波峰谷差 / 真值峰谷差 − 1|；峰谷差为该周期最大值减最小值。周期由无调幅振荡器的谷到谷定义，不依赖算法检出的峰谷。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共同样本</w:t>
            </w:r>
          </w:p>
        </w:tc>
        <w:tc>
          <w:tcPr>
            <w:tcW w:type="dxa" w:w="13833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周期须完整处于记录区间、真值峰谷差大于 5，且整周期被三条链路共同判为有效。曲线误差使用三条链路共同有效的所有采样点。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汇总方式</w:t>
            </w:r>
          </w:p>
        </w:tc>
        <w:tc>
          <w:tcPr>
            <w:tcW w:type="dxa" w:w="13833"/>
            <w:vAlign w:val="center"/>
            <w:shd w:fill="F5F8F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平均和 P95 汇总全部配对周期；NRMSE 为共同采样点误差的均方根除以典型真值峰谷差，再乘 100%。分箱覆盖率按有分箱覆盖的采样点占一分钟 3000 点的比例计算。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解释限制</w:t>
            </w:r>
          </w:p>
        </w:tc>
        <w:tc>
          <w:tcPr>
            <w:tcW w:type="dxa" w:w="13833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left"/>
              <w:snapToGrid w:val="0"/>
            </w:pPr>
            <w:r>
              <w:rPr>
                <w:rFonts w:ascii="PingFang SC" w:hAnsi="PingFang SC" w:eastAsia="PingFang SC"/>
                <w:b w:val="0"/>
                <w:color w:val="222222"/>
                <w:sz w:val="20"/>
              </w:rPr>
              <w:t>20 个种子改变噪声和伪影，不代表 20 位患者；P95 不是置信区间或误差保证。同频噪声、漂移和质量规则漏检仍可能影响结果。两种分箱本身不改变滤波幅值。</w:t>
            </w:r>
          </w:p>
        </w:tc>
      </w:tr>
    </w:tbl>
    <w:p>
      <w:pPr>
        <w:spacing w:before="140" w:after="0" w:line="280" w:lineRule="exact"/>
        <w:snapToGrid w:val="0"/>
      </w:pPr>
      <w:r>
        <w:rPr>
          <w:rFonts w:ascii="PingFang SC" w:hAnsi="PingFang SC" w:eastAsia="PingFang SC"/>
          <w:b w:val="0"/>
          <w:color w:val="000000"/>
          <w:sz w:val="19"/>
        </w:rPr>
        <w:t>测算对应当前工作区实现；原报告与运行配置未改动。复现命令：uv run --frozen python scripts/measure_filter_amplitude.py；逐组数据与代码校验值保存在 docs/measurements/three_mode_amplitude.json。</w:t>
      </w:r>
    </w:p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240" w:lineRule="auto"/>
    </w:pPr>
    <w:rPr>
      <w:rFonts w:ascii="Arial" w:hAnsi="Arial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三种分箱链路幅值精度测算报告</dc:title>
  <dc:subject/>
  <dc:creator>RespiraScope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