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121"/>
        <w:gridCol w:w="7121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10箱 / 60s</w:t>
              <w:br/>
              <w:t>缓冲各60s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时间分箱</w:t>
              <w:br/>
              <w:t>0.10–0.67 Hz · σ1.8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固定幅值分箱</w:t>
              <w:br/>
              <w:t>0.03–2.00 Hz · σ1.0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" name="Picture 1" descr="正常呼吸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" name="Picture 2" descr="正常呼吸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3" name="Picture 3" descr="呼吸急促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4" name="Picture 4" descr="呼吸急促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5" name="Picture 5" descr="呼吸过缓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6" name="Picture 6" descr="呼吸过缓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7" name="Picture 7" descr="浅呼吸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8" name="Picture 8" descr="浅呼吸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9" name="Picture 9" descr="不规则呼吸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" name="Picture 10" descr="不规则呼吸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屏气与呼吸暂停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1" name="Picture 11" descr="屏气与呼吸暂停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2" name="Picture 12" descr="屏气与呼吸暂停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3" name="Picture 13" descr="噪声干扰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4" name="Picture 14" descr="噪声干扰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5" name="Picture 15" descr="体动伪影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6" name="Picture 16" descr="体动伪影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7" name="Picture 17" descr="深呼吸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8" name="Picture 18" descr="深呼吸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9" name="Picture 19" descr="快速浅呼吸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0" name="Picture 20" descr="快速浅呼吸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1" name="Picture 21" descr="基线漂移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2" name="Picture 22" descr="基线漂移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3" name="Picture 23" descr="周期性减弱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4" name="Picture 24" descr="周期性减弱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5" name="Picture 25" descr="低幅噪声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6" name="Picture 26" descr="低幅噪声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咳嗽与冲击伪影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7" name="Picture 27" descr="咳嗽与冲击伪影 tim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8" name="Picture 28" descr="咳嗽与冲击伪影 amplitude; actual current software output, simulated source; minute 180–240s, 60s padding each side, two-cycle detail; matching axe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呼吸波形时间与固定幅值分箱对比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