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40" w:lineRule="exact" w:after="200" w:before="0"/>
      </w:pPr>
      <w:r>
        <w:rPr>
          <w:rFonts w:ascii="PingFang SC" w:hAnsi="PingFang SC" w:eastAsia="PingFang SC"/>
          <w:b/>
          <w:color w:val="000000"/>
          <w:sz w:val="42"/>
        </w:rPr>
        <w:t>四种离线滤波与分箱方案测算报告</w:t>
      </w:r>
    </w:p>
    <w:p>
      <w:pPr>
        <w:spacing w:line="300" w:lineRule="exact" w:after="180" w:before="0"/>
      </w:pPr>
      <w:r>
        <w:rPr>
          <w:rFonts w:ascii="PingFang SC" w:hAnsi="PingFang SC" w:eastAsia="PingFang SC"/>
          <w:b w:val="0"/>
          <w:color w:val="000000"/>
          <w:sz w:val="22"/>
        </w:rPr>
        <w:t>比较呼吸起伏幅度、整条曲线偏差和时间分箱边界定位，并同时列出识别失败与分箱覆盖范围。以下结果来自 16 种模拟场景，不能直接换算为患者器官位置或 CT 重建误差。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比较的四种方案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2268"/>
        <w:gridCol w:w="4025"/>
        <w:gridCol w:w="3515"/>
        <w:gridCol w:w="3118"/>
      </w:tblGrid>
      <w:tr>
        <w:trPr>
          <w:cantSplit/>
          <w:tblHeader/>
        </w:trPr>
        <w:tc>
          <w:tcPr>
            <w:tcW w:type="dxa" w:w="209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1"/>
              </w:rPr>
              <w:t>方案简称</w:t>
            </w:r>
          </w:p>
        </w:tc>
        <w:tc>
          <w:tcPr>
            <w:tcW w:type="dxa" w:w="226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1"/>
              </w:rPr>
              <w:t>分箱依据</w:t>
            </w:r>
          </w:p>
        </w:tc>
        <w:tc>
          <w:tcPr>
            <w:tcW w:type="dxa" w:w="4025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1"/>
              </w:rPr>
              <w:t>双向滤波设置</w:t>
            </w:r>
          </w:p>
        </w:tc>
        <w:tc>
          <w:tcPr>
            <w:tcW w:type="dxa" w:w="3515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1"/>
              </w:rPr>
              <w:t>基线处理</w:t>
            </w:r>
          </w:p>
        </w:tc>
        <w:tc>
          <w:tcPr>
            <w:tcW w:type="dxa" w:w="311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1"/>
              </w:rPr>
              <w:t>前后原始缓冲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时间带通</w:t>
            </w:r>
          </w:p>
        </w:tc>
        <w:tc>
          <w:tcPr>
            <w:tcW w:type="dxa" w:w="226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时间等分</w:t>
            </w:r>
          </w:p>
        </w:tc>
        <w:tc>
          <w:tcPr>
            <w:tcW w:type="dxa" w:w="402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带通 0.10～0.6667 Hz</w:t>
            </w:r>
          </w:p>
        </w:tc>
        <w:tc>
          <w:tcPr>
            <w:tcW w:type="dxa" w:w="351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估计并加回常量偏置</w:t>
            </w:r>
          </w:p>
        </w:tc>
        <w:tc>
          <w:tcPr>
            <w:tcW w:type="dxa" w:w="311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各 5 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时间低通</w:t>
            </w:r>
          </w:p>
        </w:tc>
        <w:tc>
          <w:tcPr>
            <w:tcW w:type="dxa" w:w="226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时间等分</w:t>
            </w:r>
          </w:p>
        </w:tc>
        <w:tc>
          <w:tcPr>
            <w:tcW w:type="dxa" w:w="402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低通 截止 2.00 Hz</w:t>
            </w:r>
          </w:p>
        </w:tc>
        <w:tc>
          <w:tcPr>
            <w:tcW w:type="dxa" w:w="351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保留基线及慢变化</w:t>
            </w:r>
          </w:p>
        </w:tc>
        <w:tc>
          <w:tcPr>
            <w:tcW w:type="dxa" w:w="311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各 5 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幅值带通</w:t>
            </w:r>
          </w:p>
        </w:tc>
        <w:tc>
          <w:tcPr>
            <w:tcW w:type="dxa" w:w="226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固定幅值等分</w:t>
            </w:r>
          </w:p>
        </w:tc>
        <w:tc>
          <w:tcPr>
            <w:tcW w:type="dxa" w:w="402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带通 0.03～2.00 Hz</w:t>
            </w:r>
          </w:p>
        </w:tc>
        <w:tc>
          <w:tcPr>
            <w:tcW w:type="dxa" w:w="351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估计并加回常量偏置</w:t>
            </w:r>
          </w:p>
        </w:tc>
        <w:tc>
          <w:tcPr>
            <w:tcW w:type="dxa" w:w="311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各 20 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幅值低通</w:t>
            </w:r>
          </w:p>
        </w:tc>
        <w:tc>
          <w:tcPr>
            <w:tcW w:type="dxa" w:w="226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固定幅值等分</w:t>
            </w:r>
          </w:p>
        </w:tc>
        <w:tc>
          <w:tcPr>
            <w:tcW w:type="dxa" w:w="402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低通 截止 2.00 Hz</w:t>
            </w:r>
          </w:p>
        </w:tc>
        <w:tc>
          <w:tcPr>
            <w:tcW w:type="dxa" w:w="351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保留基线及慢变化</w:t>
            </w:r>
          </w:p>
        </w:tc>
        <w:tc>
          <w:tcPr>
            <w:tcW w:type="dxa" w:w="311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1"/>
              </w:rPr>
              <w:t>各 20 秒</w:t>
            </w:r>
          </w:p>
        </w:tc>
      </w:tr>
    </w:tbl>
    <w:p>
      <w:pPr>
        <w:spacing w:line="300" w:lineRule="exact" w:after="120" w:before="160"/>
      </w:pPr>
      <w:r>
        <w:rPr>
          <w:rFonts w:ascii="PingFang SC" w:hAnsi="PingFang SC" w:eastAsia="PingFang SC"/>
          <w:b w:val="0"/>
          <w:color w:val="000000"/>
          <w:sz w:val="21"/>
        </w:rPr>
        <w:t>四种方案均采用 Butterworth 前向与反向两遍滤波，代码统一调用 sosfiltfilt，之后进行高斯平滑（σ = 1 个采样点）。滤波器设计阶数为带通 2 阶、低通 4 阶，均执行上述双向处理。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双向处理使用前后数据，不是实时因果滤波。它也不保证峰谷和分箱边界的定位误差为零；本报告第 5 页直接测量这些边界的偏差。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主要观察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按周期峰谷差平均误差比较，两个低通方案在多数场景较小；浅呼吸和噪声干扰场景由幅值带通更小，低幅强噪声场景由时间带通更小。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时间边界平均误差与幅值误差需要分别判断。周期性减弱时，时间低通的边界平均误差较小，但漏检率较高；密集咳嗽保留的样本过少，不作方案排名。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数据和比较范围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每个场景使用 20 个随机种子（42～61），共 320 组数据、1280 次四方案处理。采样率 50 Hz；每组生成 300 秒，分析 180～240 秒这一分钟。种子改变噪声与伪影，不代表患者人数。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分箱数设置为 10 箱，吸气和呼气各 5 箱。四种组合的通带、阶数、基线处理、缓冲和峰谷识别规则并不完全相同，因此本报告比较的是完整处理组合，不能把结果差异单独归因于时间或幅值分箱。</w:t>
      </w:r>
    </w:p>
    <w:p>
      <w:r>
        <w:br w:type="page"/>
      </w:r>
    </w:p>
    <w:p>
      <w:pPr>
        <w:pStyle w:val="Heading1"/>
        <w:spacing w:line="480" w:lineRule="exact" w:after="200" w:before="0"/>
      </w:pPr>
      <w:r>
        <w:rPr>
          <w:rFonts w:ascii="PingFang SC" w:hAnsi="PingFang SC" w:eastAsia="PingFang SC"/>
          <w:b/>
          <w:color w:val="000000"/>
          <w:sz w:val="36"/>
        </w:rPr>
        <w:t>参照信号与指标读法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误差是相对于什么计算的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原始输入是加入噪声和伪影、并经过取整及限幅的模拟采样数据。四种方案使用同一组输入；原始曲线用于展示输入状态，不作为误差基准。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参照 R1 是模拟器生成的无噪声信号，保留呼吸变化、常量基线和已知慢基线漂移；不含噪声、冲击、取整和限幅。第 3、4 页以 R1 为参照。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参照 R2 是 R1 去除已知模拟慢基线漂移后的信号，保留呼吸变化和常量基线。第 5 页用其峰谷时刻构造参考时间边界。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统计术语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12359"/>
      </w:tblGrid>
      <w:tr>
        <w:trPr>
          <w:cantSplit/>
          <w:tblHeader/>
        </w:trPr>
        <w:tc>
          <w:tcPr>
            <w:tcW w:type="dxa" w:w="2665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12359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含义与阅读方式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均值</w:t>
            </w:r>
          </w:p>
        </w:tc>
        <w:tc>
          <w:tcPr>
            <w:tcW w:type="dxa" w:w="12359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把纳入统计的误差相加后除以样本数，表示平均误差水平。本文周期误差按全部纳入周期汇总，时间误差按全部纳入边界汇总，不是先按患者或种子平均。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P95 第 95 百分位</w:t>
            </w:r>
          </w:p>
        </w:tc>
        <w:tc>
          <w:tcPr>
            <w:tcW w:type="dxa" w:w="12359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将误差从小到大排列，取累计位置约 95% 处的值，采用线性插值。例如周期误差 P95 = 2%，表示本批纳入周期中约 95% 的误差不超过 2%。它不是最大误差、95% 置信区间，也不是新数据的误差保证。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MAE 平均绝对误差</w:t>
            </w:r>
          </w:p>
        </w:tc>
        <w:tc>
          <w:tcPr>
            <w:tcW w:type="dxa" w:w="12359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先取每个偏差的绝对值，再求均值。时间边界 MAE 的单位为毫秒（ms）；正负偏差不会互相抵消。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RMSE 均方根误差</w:t>
            </w:r>
          </w:p>
        </w:tc>
        <w:tc>
          <w:tcPr>
            <w:tcW w:type="dxa" w:w="12359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先将每个偏差平方，求平均，再开平方；比普通绝对误差均值更受大偏差影响。RMSE 与原信号使用相同单位。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NRMSE 归一化均方根误差</w:t>
            </w:r>
          </w:p>
        </w:tc>
        <w:tc>
          <w:tcPr>
            <w:tcW w:type="dxa" w:w="12359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用参考呼吸峰谷差 Aref 对逐点偏差进行归一化后计算 RMSE，再以百分数表示。单位为 %；便于比较不同呼吸幅度，但不等于准确率。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峰谷差与 Aref</w:t>
            </w:r>
          </w:p>
        </w:tc>
        <w:tc>
          <w:tcPr>
            <w:tcW w:type="dxa" w:w="12359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周期峰谷差是同一周期内最大值减最小值。Aref 是每组一分钟候选周期的 R2 峰谷差中位数，用作第 4 页的归一化尺度。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纳入样本与候选样本</w:t>
            </w:r>
          </w:p>
        </w:tc>
        <w:tc>
          <w:tcPr>
            <w:tcW w:type="dxa" w:w="12359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候选样本符合相应的时间及参照条件；纳入样本还需满足质量与配对条件。两者的数量同时列出，避免只看到低误差而忽略大量数据被排除。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信号值的 P5 与 P95</w:t>
            </w:r>
          </w:p>
        </w:tc>
        <w:tc>
          <w:tcPr>
            <w:tcW w:type="dxa" w:w="12359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第 6 页用信号值从小到大排列后的约 5% 和 95% 位置确定固定幅值下、上界。这里排序的是信号值，不是误差，单位为信号单位。</w:t>
            </w:r>
          </w:p>
        </w:tc>
      </w:tr>
    </w:tbl>
    <w:p>
      <w:pPr>
        <w:spacing w:line="300" w:lineRule="exact" w:after="0" w:before="160"/>
      </w:pPr>
      <w:r>
        <w:rPr>
          <w:rFonts w:ascii="PingFang SC" w:hAnsi="PingFang SC" w:eastAsia="PingFang SC"/>
          <w:b w:val="0"/>
          <w:color w:val="000000"/>
          <w:sz w:val="21"/>
        </w:rPr>
        <w:t>绿色只表示同一场景、同一指标的最低误差；均值与 P95 分别比较，显示两位小数相同则并列。覆盖率不作优劣高亮。密集咳嗽样本过少，所有误差表均不高亮。</w:t>
      </w:r>
    </w:p>
    <w:p>
      <w:pPr>
        <w:pStyle w:val="Heading2"/>
        <w:spacing w:line="300" w:lineRule="exact" w:after="100" w:before="140"/>
      </w:pPr>
      <w:r>
        <w:rPr>
          <w:rFonts w:ascii="PingFang SC" w:hAnsi="PingFang SC" w:eastAsia="PingFang SC"/>
          <w:b/>
          <w:color w:val="000000"/>
          <w:sz w:val="24"/>
        </w:rPr>
        <w:t>时间边界的配对条件</w:t>
      </w:r>
    </w:p>
    <w:p>
      <w:pPr>
        <w:spacing w:line="300" w:lineRule="exact" w:after="100" w:before="0"/>
      </w:pPr>
      <w:r>
        <w:rPr>
          <w:rFonts w:ascii="PingFang SC" w:hAnsi="PingFang SC" w:eastAsia="PingFang SC"/>
          <w:b w:val="0"/>
          <w:color w:val="000000"/>
          <w:sz w:val="19"/>
        </w:rPr>
        <w:t>边界样本：只纳入两方案均匹配端点、中间无额外检出峰谷且整段有效的半呼吸，数量为 20 组累计。漏检与未匹配检出则在时间方案共同有效的评分区间统计，未被纳入边界误差的识别失败仍计入比例。</w:t>
      </w:r>
    </w:p>
    <w:p>
      <w:pPr>
        <w:spacing w:line="300" w:lineRule="exact" w:after="100" w:before="0"/>
      </w:pPr>
      <w:r>
        <w:rPr>
          <w:rFonts w:ascii="PingFang SC" w:hAnsi="PingFang SC" w:eastAsia="PingFang SC"/>
          <w:b w:val="0"/>
          <w:color w:val="000000"/>
          <w:sz w:val="19"/>
        </w:rPr>
        <w:t>匹配方法：R2 的参考峰谷最小间距为名义周期的 0.4 倍，显著性阈值为配置幅值的 0.02 倍；同类峰谷按距离最近优先一对一匹配，容差为名义周期的 1/4，不跨无效区间；评分区间两端按容差内缩。</w:t>
      </w:r>
    </w:p>
    <w:p>
      <w:r>
        <w:br w:type="page"/>
      </w:r>
    </w:p>
    <w:p>
      <w:pPr>
        <w:pStyle w:val="Heading1"/>
        <w:spacing w:line="480" w:lineRule="exact" w:after="200" w:before="0"/>
      </w:pPr>
      <w:r>
        <w:rPr>
          <w:rFonts w:ascii="PingFang SC" w:hAnsi="PingFang SC" w:eastAsia="PingFang SC"/>
          <w:b/>
          <w:color w:val="000000"/>
          <w:sz w:val="36"/>
        </w:rPr>
        <w:t>呼吸起伏幅度的误差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指标为周期峰谷差相对误差，参照为 R1，单位为 %。均值反映平均水平，P95 反映误差分布较高一端的水平；两者均越小越好。</w:t>
      </w:r>
    </w:p>
    <w:p>
      <w:pPr>
        <w:spacing w:line="300" w:lineRule="exact" w:after="180" w:before="0"/>
      </w:pPr>
      <w:r>
        <w:rPr>
          <w:rFonts w:ascii="PingFang SC" w:hAnsi="PingFang SC" w:eastAsia="PingFang SC"/>
          <w:b w:val="0"/>
          <w:color w:val="000000"/>
          <w:sz w:val="21"/>
        </w:rPr>
        <w:t>每周期误差 = 100 × |滤波峰谷差 ÷ R1 峰谷差 − 1|。峰谷差直接取周期内最大值减最小值，不使用算法检出的峰谷值。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984"/>
      </w:tblGrid>
      <w:tr>
        <w:trPr>
          <w:cantSplit/>
          <w:tblHeader/>
        </w:trPr>
        <w:tc>
          <w:tcPr>
            <w:tcW w:type="dxa" w:w="2381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呼吸场景</w:t>
            </w:r>
          </w:p>
        </w:tc>
        <w:tc>
          <w:tcPr>
            <w:tcW w:type="dxa" w:w="2664"/>
            <w:vAlign w:val="center"/>
            <w:gridSpan w:val="2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时间带通</w:t>
            </w:r>
          </w:p>
        </w:tc>
        <w:tc>
          <w:tcPr>
            <w:tcW w:type="dxa" w:w="2664"/>
            <w:vAlign w:val="center"/>
            <w:gridSpan w:val="2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时间低通</w:t>
            </w:r>
          </w:p>
        </w:tc>
        <w:tc>
          <w:tcPr>
            <w:tcW w:type="dxa" w:w="2664"/>
            <w:vAlign w:val="center"/>
            <w:gridSpan w:val="2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幅值带通</w:t>
            </w:r>
          </w:p>
        </w:tc>
        <w:tc>
          <w:tcPr>
            <w:tcW w:type="dxa" w:w="2664"/>
            <w:vAlign w:val="center"/>
            <w:gridSpan w:val="2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幅值低通</w:t>
            </w:r>
          </w:p>
        </w:tc>
        <w:tc>
          <w:tcPr>
            <w:tcW w:type="dxa" w:w="1984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周期数</w:t>
            </w:r>
          </w:p>
        </w:tc>
      </w:tr>
      <w:tr>
        <w:trPr>
          <w:cantSplit/>
          <w:tblHeader/>
        </w:trPr>
        <w:tc>
          <w:tcPr>
            <w:tcW w:type="dxa" w:w="2381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模拟场景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均值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P95 %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均值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P95 %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均值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P95 %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均值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P95 %</w:t>
            </w:r>
          </w:p>
        </w:tc>
        <w:tc>
          <w:tcPr>
            <w:tcW w:type="dxa" w:w="1984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9"/>
              </w:rPr>
              <w:t>纳入 / 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正常呼吸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5.21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5.90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0.43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1.04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0.94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1.67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0.43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1.04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340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呼吸急促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36.81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41.54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0.86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2.10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5.93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7.82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0.86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2.10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620 / 620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呼吸过缓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25.18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26.22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0.28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0.62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2.52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3.15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0.28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0.62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140 / 140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浅呼吸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8.91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11.75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2.32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5.14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1.94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4.78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2.32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5.14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380 / 380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不规则呼吸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5.46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8.25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0.80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1.89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0.98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2.21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0.80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1.89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320 / 320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屏气与呼吸暂停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5.27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16.74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3.21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1.19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3.87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3.21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300 / 300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噪声干扰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5.28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9.35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3.50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7.94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3.06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6.92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3.50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7.94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340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体动伪影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5.50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8.63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1.88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5.88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2.05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6.49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1.88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5.88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42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深呼吸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13.12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14.17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0.20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0.50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1.08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1.58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0.20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0.50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180 / 180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快速浅呼吸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44.71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51.72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2.46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6.12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11.66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2.46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6.12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700 / 700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基线漂移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7.23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9.38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0.74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1.66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2.34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4.27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0.74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1.66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340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周期性减弱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4.33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8.44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0.71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2.03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0.97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260 / 260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低幅强噪声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5.91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13.45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8.34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19.37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7.87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17.48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8.34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19.37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340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密集咳嗽与冲击伪影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9.60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10.61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1.45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2.48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2.10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3.58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1.45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2.48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 / 380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单次局部咳嗽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5.19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6.01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1.02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0.90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0.44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1.02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228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间歇局部咳嗽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5.02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5.87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0.96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1.65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0.42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9"/>
              </w:rPr>
              <w:t>0.97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180 / 340</w:t>
            </w:r>
          </w:p>
        </w:tc>
      </w:tr>
    </w:tbl>
    <w:p>
      <w:pPr>
        <w:spacing w:line="300" w:lineRule="exact" w:after="120" w:before="160"/>
      </w:pPr>
      <w:r>
        <w:rPr>
          <w:rFonts w:ascii="PingFang SC" w:hAnsi="PingFang SC" w:eastAsia="PingFang SC"/>
          <w:b w:val="0"/>
          <w:color w:val="000000"/>
          <w:sz w:val="20"/>
        </w:rPr>
        <w:t>样本口径：以模拟器未调幅振荡器的相邻谷点界定周期。候选周期须完整位于这一分钟内，且 R1 峰谷差大于 5 个信号单位；纳入周期还须整段通过四种方案的质量规则。表中周期数为 20 组累计。</w:t>
      </w:r>
    </w:p>
    <w:p>
      <w:pPr>
        <w:spacing w:line="300" w:lineRule="exact" w:after="0" w:before="0"/>
      </w:pPr>
      <w:r>
        <w:rPr>
          <w:rFonts w:ascii="PingFang SC" w:hAnsi="PingFang SC" w:eastAsia="PingFang SC"/>
          <w:b w:val="0"/>
          <w:color w:val="000000"/>
          <w:sz w:val="20"/>
        </w:rPr>
        <w:t>该指标只衡量起伏幅度，不反映整条曲线的基线偏移。密集咳嗽仅有 4 个共同有效周期，其均值与 P95 只描述这 4 个周期，不代表整段咳嗽数据。</w:t>
      </w:r>
    </w:p>
    <w:p>
      <w:r>
        <w:br w:type="page"/>
      </w:r>
    </w:p>
    <w:p>
      <w:pPr>
        <w:pStyle w:val="Heading1"/>
        <w:spacing w:line="480" w:lineRule="exact" w:after="200" w:before="0"/>
      </w:pPr>
      <w:r>
        <w:rPr>
          <w:rFonts w:ascii="PingFang SC" w:hAnsi="PingFang SC" w:eastAsia="PingFang SC"/>
          <w:b/>
          <w:color w:val="000000"/>
          <w:sz w:val="36"/>
        </w:rPr>
        <w:t>整条滤波曲线的偏差</w:t>
      </w:r>
    </w:p>
    <w:p>
      <w:pPr>
        <w:spacing w:line="300" w:lineRule="exact" w:after="120" w:before="0"/>
      </w:pPr>
      <w:r>
        <w:rPr>
          <w:rFonts w:ascii="PingFang SC" w:hAnsi="PingFang SC" w:eastAsia="PingFang SC"/>
          <w:b w:val="0"/>
          <w:color w:val="000000"/>
          <w:sz w:val="21"/>
        </w:rPr>
        <w:t>指标为波形 NRMSE，参照为包含慢基线漂移的 R1，单位为 %，越小越好。它同时反映形状、幅度和基线差异。</w:t>
      </w:r>
    </w:p>
    <w:p>
      <w:pPr>
        <w:spacing w:line="300" w:lineRule="exact" w:after="180" w:before="0"/>
      </w:pPr>
      <w:r>
        <w:rPr>
          <w:rFonts w:ascii="PingFang SC" w:hAnsi="PingFang SC" w:eastAsia="PingFang SC"/>
          <w:b w:val="0"/>
          <w:color w:val="000000"/>
          <w:sz w:val="21"/>
        </w:rPr>
        <w:t>NRMSE = 100 × √平均[((滤波值 − R1) ÷ Aref)²]。每组先用自己的 Aref 归一化，再汇总全部共同有效采样点；不进行时间平移、增益拟合或基线对齐。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438"/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835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模拟场景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时间带通</w:t>
              <w:br/>
              <w:t>NRMSE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时间低通</w:t>
              <w:br/>
              <w:t>NRMSE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幅值带通</w:t>
              <w:br/>
              <w:t>NRMSE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幅值低通</w:t>
              <w:br/>
              <w:t>NRMSE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Aref</w:t>
              <w:br/>
              <w:t>信号单位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正常呼吸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3.99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186.43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呼吸急促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13.38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0.93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2.92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0.93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127.10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呼吸过缓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10.20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0.23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1.40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0.23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228.80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浅呼吸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5.80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2.14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3.13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2.14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61.01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不规则呼吸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4.37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0.73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1.56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0.73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177.95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屏气与呼吸暂停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3.66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0.45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1.67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0.45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177.95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噪声干扰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5.29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2.92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3.66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2.92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161.00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体动伪影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8.11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2.77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7.28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2.77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177.96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深呼吸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5.20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0.18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0.92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0.18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288.12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快速浅呼吸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16.41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2.56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4.71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2.56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54.23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基线漂移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13.22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0.67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8.60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0.67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155.92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周期性减弱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3.71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1.48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194.90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低幅强噪声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12.91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6.60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10.14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6.60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47.45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密集咳嗽与冲击伪影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8.27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2.24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7.69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2.24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138.98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单次局部咳嗽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4.00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0.44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0.44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186.43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间歇局部咳嗽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4.00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1.24</w:t>
            </w:r>
          </w:p>
        </w:tc>
        <w:tc>
          <w:tcPr>
            <w:tcW w:type="dxa" w:w="2438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20"/>
              </w:rPr>
              <w:t>0.43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186.43</w:t>
            </w:r>
          </w:p>
        </w:tc>
      </w:tr>
    </w:tbl>
    <w:p>
      <w:pPr>
        <w:spacing w:line="300" w:lineRule="exact" w:after="120" w:before="160"/>
      </w:pPr>
      <w:r>
        <w:rPr>
          <w:rFonts w:ascii="PingFang SC" w:hAnsi="PingFang SC" w:eastAsia="PingFang SC"/>
          <w:b w:val="0"/>
          <w:color w:val="000000"/>
          <w:sz w:val="20"/>
        </w:rPr>
        <w:t>读数示例：正常呼吸的时间低通 NRMSE = 0.42%，表示归一化后的均方根偏差为 0.42%。它不表示每个采样点的误差都小于 0.42%，也不表示准确率为 99.58%。</w:t>
      </w:r>
    </w:p>
    <w:p>
      <w:pPr>
        <w:spacing w:line="300" w:lineRule="exact" w:after="0" w:before="0"/>
      </w:pPr>
      <w:r>
        <w:rPr>
          <w:rFonts w:ascii="PingFang SC" w:hAnsi="PingFang SC" w:eastAsia="PingFang SC"/>
          <w:b w:val="0"/>
          <w:color w:val="000000"/>
          <w:sz w:val="20"/>
        </w:rPr>
        <w:t>目标的影响：R1 保留了慢基线漂移，因此低通保留慢变化时可能得到更小的误差；这不能证明低通更能消除传感器漂移。该表不评估固定幅值箱号或器官位置是否正确。</w:t>
      </w:r>
    </w:p>
    <w:p>
      <w:r>
        <w:br w:type="page"/>
      </w:r>
    </w:p>
    <w:p>
      <w:pPr>
        <w:pStyle w:val="Heading1"/>
        <w:spacing w:line="480" w:lineRule="exact" w:after="200" w:before="0"/>
      </w:pPr>
      <w:r>
        <w:rPr>
          <w:rFonts w:ascii="PingFang SC" w:hAnsi="PingFang SC" w:eastAsia="PingFang SC"/>
          <w:b/>
          <w:color w:val="000000"/>
          <w:sz w:val="36"/>
        </w:rPr>
        <w:t>时间分箱的边界误差与峰谷识别</w:t>
      </w:r>
    </w:p>
    <w:p>
      <w:pPr>
        <w:spacing w:line="300" w:lineRule="exact" w:after="180" w:before="0"/>
      </w:pPr>
      <w:r>
        <w:rPr>
          <w:rFonts w:ascii="PingFang SC" w:hAnsi="PingFang SC" w:eastAsia="PingFang SC"/>
          <w:b w:val="0"/>
          <w:color w:val="000000"/>
          <w:sz w:val="21"/>
        </w:rPr>
        <w:t>仅比较两种时间分箱方案。参照为 R2 的相邻峰谷之间等时间划分的 5 箱，统计每个半呼吸的 4 个内部边界。MAE 和 P95 均由边界绝对时间偏差计算，单位为 ms。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332"/>
        <w:gridCol w:w="1332"/>
        <w:gridCol w:w="1332"/>
        <w:gridCol w:w="1332"/>
        <w:gridCol w:w="1332"/>
        <w:gridCol w:w="1332"/>
        <w:gridCol w:w="1332"/>
        <w:gridCol w:w="1332"/>
        <w:gridCol w:w="1984"/>
      </w:tblGrid>
      <w:tr>
        <w:trPr>
          <w:cantSplit/>
          <w:tblHeader/>
        </w:trPr>
        <w:tc>
          <w:tcPr>
            <w:tcW w:type="dxa" w:w="2381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呼吸场景</w:t>
            </w:r>
          </w:p>
        </w:tc>
        <w:tc>
          <w:tcPr>
            <w:tcW w:type="dxa" w:w="5328"/>
            <w:vAlign w:val="center"/>
            <w:gridSpan w:val="4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时间带通</w:t>
            </w:r>
          </w:p>
        </w:tc>
        <w:tc>
          <w:tcPr>
            <w:tcW w:type="dxa" w:w="5328"/>
            <w:vAlign w:val="center"/>
            <w:gridSpan w:val="4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时间低通</w:t>
            </w:r>
          </w:p>
        </w:tc>
        <w:tc>
          <w:tcPr>
            <w:tcW w:type="dxa" w:w="1984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半呼吸数</w:t>
            </w:r>
          </w:p>
        </w:tc>
      </w:tr>
      <w:tr>
        <w:trPr>
          <w:cantSplit/>
          <w:tblHeader/>
        </w:trPr>
        <w:tc>
          <w:tcPr>
            <w:tcW w:type="dxa" w:w="2381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模拟场景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MAE</w:t>
              <w:br/>
              <w:t>ms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P95</w:t>
              <w:br/>
              <w:t>ms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漏检率</w:t>
              <w:br/>
              <w:t>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未匹配</w:t>
              <w:br/>
              <w:t>检出 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MAE</w:t>
              <w:br/>
              <w:t>ms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P95</w:t>
              <w:br/>
              <w:t>ms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漏检率</w:t>
              <w:br/>
              <w:t>%</w:t>
            </w:r>
          </w:p>
        </w:tc>
        <w:tc>
          <w:tcPr>
            <w:tcW w:type="dxa" w:w="1332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未匹配</w:t>
              <w:br/>
              <w:t>检出 %</w:t>
            </w:r>
          </w:p>
        </w:tc>
        <w:tc>
          <w:tcPr>
            <w:tcW w:type="dxa" w:w="1984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纳入 / 候选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正常呼吸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60.90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10.18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24.00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660 / 660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呼吸急促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52.94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108.00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7.02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20.00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1220 / 1220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呼吸过缓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42.60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96.00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22.33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52.00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260 / 260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浅呼吸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64.67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140.00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32.98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84.00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740 / 740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不规则呼吸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60.88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136.00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16.50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44.00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620 / 620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屏气与呼吸暂停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60.33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124.00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13.33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12.88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32.00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13.33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457 / 580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噪声干扰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66.62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148.00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51.38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128.00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660 / 660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体动伪影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63.90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136.00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0.90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35.60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140.00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0.45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0.90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115 / 118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深呼吸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7.95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16.00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11.38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28.20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340 / 340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快速浅呼吸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50.82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108.00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14.98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36.00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1380 / 1380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基线漂移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60.88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15.15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36.00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660 / 660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周期性减弱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49.71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104.00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3.70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15.12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32.00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13.89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3.12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410 / 500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低幅强噪声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75.91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192.00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94.08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236.00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658 / 660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密集咳嗽与冲击伪影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55.67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118.80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7.14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117.00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3.45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 / 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单次局部咳嗽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60.97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0.17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10.56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24.00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562 / 563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间歇局部咳嗽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60.67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124.00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10.61</w:t>
            </w:r>
          </w:p>
        </w:tc>
        <w:tc>
          <w:tcPr>
            <w:tcW w:type="dxa" w:w="1332"/>
            <w:vAlign w:val="center"/>
            <w:shd w:fill="DCEFE6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156642"/>
                <w:sz w:val="18"/>
              </w:rPr>
              <w:t>24.00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332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1984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280 / 280</w:t>
            </w:r>
          </w:p>
        </w:tc>
      </w:tr>
    </w:tbl>
    <w:p>
      <w:pPr>
        <w:spacing w:line="300" w:lineRule="exact" w:after="100" w:before="140"/>
      </w:pPr>
      <w:r>
        <w:rPr>
          <w:rFonts w:ascii="PingFang SC" w:hAnsi="PingFang SC" w:eastAsia="PingFang SC"/>
          <w:b w:val="0"/>
          <w:color w:val="000000"/>
          <w:sz w:val="19"/>
        </w:rPr>
        <w:t>漏检率 = 未匹配的参考峰谷数 ÷ 参考峰谷总数 × 100%；未匹配检出占比 = 未匹配的算法峰谷数 ÷ 算法检出峰谷总数 × 100%。超出匹配容差也算未匹配，因此后者不能直接解释为虚假峰谷比例。</w:t>
      </w:r>
    </w:p>
    <w:p>
      <w:pPr>
        <w:spacing w:line="300" w:lineRule="exact" w:after="0" w:before="0"/>
      </w:pPr>
      <w:r>
        <w:rPr>
          <w:rFonts w:ascii="PingFang SC" w:hAnsi="PingFang SC" w:eastAsia="PingFang SC"/>
          <w:b w:val="0"/>
          <w:color w:val="000000"/>
          <w:sz w:val="19"/>
        </w:rPr>
        <w:t>本页测量的是分箱边界定位误差，不是滤波群时延或实时延迟。密集咳嗽只有 6 个共同半呼吸；周期性减弱需结合漏检率阅读，不能只按 MAE 选择方案。</w:t>
      </w:r>
    </w:p>
    <w:p>
      <w:r>
        <w:br w:type="page"/>
      </w:r>
    </w:p>
    <w:p>
      <w:pPr>
        <w:pStyle w:val="Heading1"/>
        <w:spacing w:line="480" w:lineRule="exact" w:after="200" w:before="0"/>
      </w:pPr>
      <w:r>
        <w:rPr>
          <w:rFonts w:ascii="PingFang SC" w:hAnsi="PingFang SC" w:eastAsia="PingFang SC"/>
          <w:b/>
          <w:color w:val="000000"/>
          <w:sz w:val="36"/>
        </w:rPr>
        <w:t>实际分箱覆盖与结果适用范围</w:t>
      </w:r>
    </w:p>
    <w:p>
      <w:pPr>
        <w:spacing w:line="300" w:lineRule="exact" w:after="180" w:before="0"/>
      </w:pPr>
      <w:r>
        <w:rPr>
          <w:rFonts w:ascii="PingFang SC" w:hAnsi="PingFang SC" w:eastAsia="PingFang SC"/>
          <w:b w:val="0"/>
          <w:color w:val="000000"/>
          <w:sz w:val="21"/>
        </w:rPr>
        <w:t>分箱覆盖率 = 至少被一个输出分箱覆盖的采样点数 ÷ 一分钟的 3000 个采样点 × 100%，再对 20 组取均值。共同有效时长是四种方案均未排除的时长均值，用于说明误差统计所保留的数据范围。</w:t>
      </w:r>
    </w:p>
    <w:tbl>
      <w:tblPr>
        <w:tblW w:type="dxa" w:w="15024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438"/>
        <w:gridCol w:w="2438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2835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模拟场景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时间带通</w:t>
              <w:br/>
              <w:t>覆盖率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时间低通</w:t>
              <w:br/>
              <w:t>覆盖率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幅值带通</w:t>
              <w:br/>
              <w:t>覆盖率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幅值低通</w:t>
              <w:br/>
              <w:t>覆盖率 %</w:t>
            </w:r>
          </w:p>
        </w:tc>
        <w:tc>
          <w:tcPr>
            <w:tcW w:type="dxa" w:w="2438"/>
            <w:vAlign w:val="center"/>
            <w:shd w:fill="E6EDF4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/>
                <w:color w:val="000000"/>
                <w:sz w:val="20"/>
              </w:rPr>
              <w:t>共同有效时长</w:t>
              <w:br/>
              <w:t>秒 每组共60秒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正常呼吸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90.14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88.80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呼吸急促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90.21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79.27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呼吸过缓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95.77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90.34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85.83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浅呼吸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90.14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86.90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不规则呼吸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90.27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88.62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屏气与呼吸暂停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90.28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91.00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噪声干扰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90.18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87.78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体动伪影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19.61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26.47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12.91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20.11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24.37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深呼吸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96.38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89.12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88.10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快速浅呼吸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90.03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78.08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基线漂移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90.18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80.00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周期性减弱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98.40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89.21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88.79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低幅强噪声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99.97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90.28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82.00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密集咳嗽与冲击伪影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0.81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3.65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1.02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3.10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11.86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单次局部咳嗽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87.37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91.96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62.11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81.24</w:t>
            </w:r>
          </w:p>
        </w:tc>
        <w:tc>
          <w:tcPr>
            <w:tcW w:type="dxa" w:w="2438"/>
            <w:vAlign w:val="center"/>
            <w:shd w:fill="FFFFFF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44.79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left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间歇局部咳嗽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51.03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66.64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60.33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59.21</w:t>
            </w:r>
          </w:p>
        </w:tc>
        <w:tc>
          <w:tcPr>
            <w:tcW w:type="dxa" w:w="2438"/>
            <w:vAlign w:val="center"/>
            <w:shd w:fill="F4F7FA"/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pPr>
              <w:spacing w:after="0" w:line="280" w:lineRule="exact"/>
              <w:jc w:val="center"/>
            </w:pPr>
            <w:r>
              <w:rPr>
                <w:rFonts w:ascii="PingFang SC" w:hAnsi="PingFang SC" w:eastAsia="PingFang SC"/>
                <w:b w:val="0"/>
                <w:color w:val="000000"/>
                <w:sz w:val="20"/>
              </w:rPr>
              <w:t>45.58</w:t>
            </w:r>
          </w:p>
        </w:tc>
      </w:tr>
    </w:tbl>
    <w:p>
      <w:pPr>
        <w:spacing w:line="300" w:lineRule="exact" w:after="100" w:before="140"/>
      </w:pPr>
      <w:r>
        <w:rPr>
          <w:rFonts w:ascii="PingFang SC" w:hAnsi="PingFang SC" w:eastAsia="PingFang SC"/>
          <w:b w:val="0"/>
          <w:color w:val="000000"/>
          <w:sz w:val="19"/>
        </w:rPr>
        <w:t>固定幅值上下界：两条幅值方案共用幅值带通结果（含缓冲）中质量有效信号值的 P5、P95。实际代码取排序后索引 ⌊(n−1)×p⌋ 的值（p = 0.05、0.95）；上下界之间等分 5 份，吸气与呼气分别使用，范围外不分箱。上下界的选择会影响覆盖率。</w:t>
      </w:r>
    </w:p>
    <w:p>
      <w:pPr>
        <w:spacing w:line="300" w:lineRule="exact" w:after="100" w:before="0"/>
      </w:pPr>
      <w:r>
        <w:rPr>
          <w:rFonts w:ascii="PingFang SC" w:hAnsi="PingFang SC" w:eastAsia="PingFang SC"/>
          <w:b w:val="0"/>
          <w:color w:val="000000"/>
          <w:sz w:val="19"/>
        </w:rPr>
        <w:t>覆盖率表示输出了多少分箱，不表示箱号正确率。被排除的咳嗽、体动或边界区间不参加相应误差统计；屏气预设仍有 8% 残余呼吸幅度，不能用本表衡量屏气识别准确率。</w:t>
      </w:r>
    </w:p>
    <w:p>
      <w:pPr>
        <w:spacing w:line="300" w:lineRule="exact" w:after="100" w:before="0"/>
      </w:pPr>
      <w:r>
        <w:rPr>
          <w:rFonts w:ascii="PingFang SC" w:hAnsi="PingFang SC" w:eastAsia="PingFang SC"/>
          <w:b w:val="0"/>
          <w:color w:val="000000"/>
          <w:sz w:val="19"/>
        </w:rPr>
        <w:t>本报告未测量幅值箱号正确率、器官运动误差或 CT 重建质量。没有设置综合得分，也不根据单项最低误差给出通用最优方案。</w:t>
      </w:r>
    </w:p>
    <w:p>
      <w:pPr>
        <w:spacing w:line="300" w:lineRule="exact" w:after="0" w:before="0"/>
      </w:pPr>
      <w:r>
        <w:rPr>
          <w:rFonts w:ascii="PingFang SC" w:hAnsi="PingFang SC" w:eastAsia="PingFang SC"/>
          <w:b w:val="0"/>
          <w:color w:val="000000"/>
          <w:sz w:val="18"/>
        </w:rPr>
        <w:t>数据文件：docs/measurements/four_mode_metrics.json</w:t>
        <w:br/>
        <w:t>复现命令：uv run --frozen python scripts/measure_filter_modes.py</w:t>
      </w:r>
    </w:p>
    <w:sectPr w:rsidR="00FC693F" w:rsidRPr="0006063C" w:rsidSect="00034616">
      <w:footerReference w:type="default" r:id="rId9"/>
      <w:pgSz w:w="16838" w:h="11906"/>
      <w:pgMar w:top="765" w:right="907" w:bottom="765" w:left="907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666666"/>
        <w:sz w:val="16"/>
      </w:rPr>
      <w:t xml:space="preserve">RespiraScope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PingFang SC" w:hAnsi="PingFang SC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四种离线滤波与分箱方案测算报告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