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时间与固定幅值分箱波形对比</w:t>
      </w:r>
    </w:p>
    <w:p>
      <w:pPr>
        <w:pStyle w:val="Caption"/>
      </w:pPr>
      <w:r>
        <w:t>16 种模拟波形，每种 20 次，每周期 10 箱；图示为其中一次。两种分箱共用滤波曲线。</w:t>
      </w:r>
    </w:p>
    <w:p>
      <w:pPr>
        <w:pStyle w:val="Caption"/>
        <w:spacing w:after="60"/>
      </w:pPr>
      <w:r>
        <w:rPr>
          <w:b/>
        </w:rPr>
        <w:t>数据源：</w:t>
      </w:r>
      <w:r>
        <w:t>两条模拟曲线：一条未加入噪声、伪影，称为基础曲线；另一条在同一基础曲线上加入噪声、伪影，再进行滤波。</w:t>
      </w:r>
    </w:p>
    <w:p>
      <w:pPr>
        <w:pStyle w:val="Caption"/>
        <w:spacing w:after="60"/>
      </w:pPr>
      <w:r>
        <w:rPr>
          <w:b/>
        </w:rPr>
        <w:t>参考不一致率：</w:t>
      </w:r>
      <w:r>
        <w:t>将基础曲线与加入噪声、伪影后的滤波曲线，分别按同一种方式分箱，比较同一时刻的吸呼方向和箱号，统计不同的比例。时间分箱与时间分箱比，固定幅值分箱与固定幅值分箱比。</w:t>
      </w:r>
    </w:p>
    <w:p>
      <w:pPr>
        <w:pStyle w:val="Caption"/>
        <w:spacing w:after="60"/>
      </w:pPr>
      <w:r>
        <w:rPr>
          <w:b/>
        </w:rPr>
        <w:t>幅值跨度变化：</w:t>
      </w:r>
      <w:r>
        <w:t>比较上述两条曲线的幅值跨度，正值表示滤波后增大，负值表示缩小，取 20 次结果的平均值。跨度取数值从小到大排列后 95% 与 5% 位置的差值，减少极端值影响。</w:t>
      </w:r>
    </w:p>
    <w:p>
      <w:pPr>
        <w:pStyle w:val="Caption"/>
      </w:pPr>
      <w:r>
        <w:t>统计时排除已识别的伪影片段；分箱对比仅使用两种方式均已分箱、且基础曲线可确定吸呼方向的采样点。幅值对比不受分箱上下限限制。</w:t>
      </w:r>
    </w:p>
    <w:p>
      <w:pPr>
        <w:pStyle w:val="Caption"/>
      </w:pPr>
      <w:r>
        <w:t>绿线：基础曲线；灰线：加入噪声、伪影后的曲线；蓝线：滤波曲线；橙虚线：被排除片段的滤波曲线。底部蓝带：吸气；黄带：呼气；空白：未分箱。竖／横虚线：分箱边界。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正常呼吸</w:t>
            </w:r>
          </w:p>
        </w:tc>
        <w:tc>
          <w:tcPr>
            <w:tcW w:type="dxa" w:w="59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4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ti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参考不一致率 2.99%</w:t>
            </w:r>
          </w:p>
        </w:tc>
        <w:tc>
          <w:tcPr>
            <w:tcW w:type="dxa" w:w="59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4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fix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参考不一致率 2.14%</w:t>
            </w:r>
          </w:p>
        </w:tc>
        <w:tc>
          <w:tcPr>
            <w:tcW w:type="dxa" w:w="2448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-0.01%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呼吸急促</w:t>
            </w:r>
          </w:p>
        </w:tc>
        <w:tc>
          <w:tcPr>
            <w:tcW w:type="dxa" w:w="59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4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ti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参考不一致率 3.81%</w:t>
            </w:r>
          </w:p>
        </w:tc>
        <w:tc>
          <w:tcPr>
            <w:tcW w:type="dxa" w:w="59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4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0" cy="19269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fix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926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参考不一致率 4.41%</w:t>
            </w:r>
          </w:p>
        </w:tc>
        <w:tc>
          <w:tcPr>
            <w:tcW w:type="dxa" w:w="2448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-0.04%</w:t>
            </w:r>
          </w:p>
        </w:tc>
      </w:tr>
    </w:tbl>
    <w:p>
      <w:pPr>
        <w:pStyle w:val="Heading1"/>
        <w:pageBreakBefore/>
      </w:pPr>
      <w:r>
        <w:t>时间与固定幅值分箱波形对比 3 至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呼吸过缓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ti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2.98%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fix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1.35%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+0.05%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浅呼吸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ti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11.29%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fix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9.65%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+0.27%</w:t>
            </w:r>
          </w:p>
        </w:tc>
      </w:tr>
    </w:tbl>
    <w:p>
      <w:pPr>
        <w:pStyle w:val="Heading1"/>
        <w:pageBreakBefore/>
      </w:pPr>
      <w:r>
        <w:t>时间与固定幅值分箱波形对比 5 至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不规则呼吸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ti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4.65%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fixe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3.55%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-0.10%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屏气与呼吸暂停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ti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23.66%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fix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11.30%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-0.08%</w:t>
            </w:r>
          </w:p>
        </w:tc>
      </w:tr>
    </w:tbl>
    <w:p>
      <w:pPr>
        <w:pStyle w:val="Heading1"/>
        <w:pageBreakBefore/>
      </w:pPr>
      <w:r>
        <w:t>时间与固定幅值分箱波形对比 7 至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噪声干扰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ti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15.71%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fix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12.88%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+0.63%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体动伪影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tim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11.95%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fixe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8.21%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+0.54%</w:t>
            </w:r>
          </w:p>
        </w:tc>
      </w:tr>
    </w:tbl>
    <w:p>
      <w:pPr>
        <w:pStyle w:val="Heading1"/>
        <w:pageBreakBefore/>
      </w:pPr>
      <w:r>
        <w:t>时间与固定幅值分箱波形对比 9 至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深呼吸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tim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1.89%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fixe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1.27%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-0.03%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快速浅呼吸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tim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9.52%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fixe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10.47%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+0.48%</w:t>
            </w:r>
          </w:p>
        </w:tc>
      </w:tr>
    </w:tbl>
    <w:p>
      <w:pPr>
        <w:pStyle w:val="Heading1"/>
        <w:pageBreakBefore/>
      </w:pPr>
      <w:r>
        <w:t>时间与固定幅值分箱波形对比 11 至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基线漂移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tim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4.36%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fixe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3.31%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-0.09%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周期性减弱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tim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18.91%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fixe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7.77%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-0.08%</w:t>
            </w:r>
          </w:p>
        </w:tc>
      </w:tr>
    </w:tbl>
    <w:p>
      <w:pPr>
        <w:pStyle w:val="Heading1"/>
        <w:pageBreakBefore/>
      </w:pPr>
      <w:r>
        <w:t>时间与固定幅值分箱波形对比 13 至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低幅强噪声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tim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28.75%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fixe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26.60%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+1.30%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密集咳嗽与冲击伪影</w:t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仅少量片段可对比分箱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tim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11.76%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fix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7.60%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+0.39%</w:t>
            </w:r>
          </w:p>
        </w:tc>
      </w:tr>
    </w:tbl>
    <w:p>
      <w:pPr>
        <w:pStyle w:val="Heading1"/>
        <w:pageBreakBefore/>
      </w:pPr>
      <w:r>
        <w:t>时间与固定幅值分箱波形对比 15 至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904"/>
        <w:gridCol w:w="5904"/>
        <w:gridCol w:w="2448"/>
      </w:tblGrid>
      <w:tr>
        <w:trPr>
          <w:tblHeader/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相对基础曲线</w:t>
              <w:br/>
              <w:t>幅值跨度变化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单次局部咳嗽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al_cough_tim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3.05%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al_cough_fixe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2.14%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+0.03%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间歇局部咳嗽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ed_cough_tim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3.04%</w:t>
            </w:r>
          </w:p>
        </w:tc>
        <w:tc>
          <w:tcPr>
            <w:tcW w:type="dxa" w:w="5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  <w:jc w:val="center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02736" cy="205199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ed_cough_fixe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736" cy="2051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2.23%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+0.04%</w:t>
            </w:r>
          </w:p>
        </w:tc>
      </w:tr>
    </w:tbl>
    <w:sectPr w:rsidR="00FC693F" w:rsidRPr="0006063C" w:rsidSect="00034616">
      <w:footerReference w:type="default" r:id="rId9"/>
      <w:pgSz w:w="16834" w:h="11909"/>
      <w:pgMar w:top="576" w:right="576" w:bottom="576" w:left="576" w:header="23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RespiraScope  ·  模拟测算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exact"/>
      <w:keepNext w:val="0"/>
      <w:snapToGrid w:val="0"/>
    </w:pPr>
    <w:rPr>
      <w:rFonts w:ascii="Arial" w:hAnsi="Arial" w:eastAsia="Hiragino Sans GB"/>
      <w:b w:val="0"/>
      <w:color w:val="18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100" w:line="38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00" w:line="600" w:lineRule="exact" w:before="0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before="0" w:after="100"/>
      <w:keepNext w:val="0"/>
      <w:snapToGrid w:val="0"/>
    </w:pPr>
    <w:rPr>
      <w:rFonts w:ascii="Arial" w:hAnsi="Arial" w:eastAsia="Hiragino Sans GB"/>
      <w:b w:val="0"/>
      <w:bCs/>
      <w:color w:val="1822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时间与固定幅值分箱波形对比</dc:title>
  <dc:subject>模拟波形与分箱结果对照</dc:subject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