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p>
      <w:pPr>
        <w:pStyle w:val="Heading2"/>
        <w:keepNext/>
      </w:pPr>
      <w:r>
        <w:rPr>
          <w:rFonts w:ascii="Heiti SC" w:hAnsi="Heiti SC" w:eastAsia="Heiti SC"/>
          <w:color w:val="000000"/>
        </w:rPr>
        <w:t>登记入口与费用起算日分开 2026年10月14日</w:t>
      </w:r>
    </w:p>
    <w:p>
      <w:pPr>
        <w:keepLines/>
      </w:pPr>
      <w:r>
        <w:rPr>
          <w:rFonts w:ascii="Heiti SC" w:hAnsi="Heiti SC" w:eastAsia="Heiti SC"/>
          <w:color w:val="000000"/>
        </w:rPr>
        <w:t>起扣日只决定从哪天开始计算费用，不应锁住资金登记入口。今天或过去实际日期已经发生的新充值可立即登记，已有资金用余额更正核实，充值增量与实际剩余余额分开填写。起扣日前本轮已登记资金会延续到新阶段，旧费用不重复扣；旧记录保留可查。查询日期不等于起扣日，真实未来资金不提前登记。</w:t>
      </w:r>
    </w:p>
    <w:p>
      <w:pPr>
        <w:keepLines/>
      </w:pPr>
      <w:r>
        <w:rPr>
          <w:rFonts w:ascii="Heiti SC" w:hAnsi="Heiti SC" w:eastAsia="Heiti SC"/>
          <w:color w:val="000000"/>
        </w:rPr>
        <w:t>本条只记录交互与记账规则，真实金额仍需由操作人员核实。</w:t>
      </w:r>
    </w:p>
    <w:p>
      <w:pPr>
        <w:pStyle w:val="Heading2"/>
        <w:keepNext/>
      </w:pPr>
      <w:r>
        <w:rPr>
          <w:rFonts w:ascii="Heiti SC" w:hAnsi="Heiti SC" w:eastAsia="Heiti SC"/>
          <w:color w:val="000000"/>
        </w:rPr>
        <w:t>费用更正与自动扣费日期分开 2026年10月14日</w:t>
      </w:r>
    </w:p>
    <w:p>
      <w:pPr>
        <w:keepLines/>
      </w:pPr>
      <w:r>
        <w:rPr>
          <w:rFonts w:ascii="Heiti SC" w:hAnsi="Heiti SC" w:eastAsia="Heiti SC"/>
          <w:color w:val="000000"/>
        </w:rPr>
        <w:t>费用可以按核实结果更正，先选具体一天，填当天总额并写原因。自动扣费起点只决定从哪天开始扣余额，不应锁住费用更正入口；起点以前更正费用也不扣新余额。补录费用归到原实际业务日，旧记录保留。</w:t>
      </w:r>
    </w:p>
    <w:p>
      <w:pPr>
        <w:keepLines/>
      </w:pPr>
      <w:r>
        <w:rPr>
          <w:rFonts w:ascii="Heiti SC" w:hAnsi="Heiti SC" w:eastAsia="Heiti SC"/>
          <w:color w:val="000000"/>
        </w:rPr>
        <w:t>本条记录通用交互与记账规则，真实金额由操作人员核实。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