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p>
      <w:pPr>
        <w:pStyle w:val="Heading2"/>
        <w:keepNext/>
      </w:pPr>
      <w:r>
        <w:rPr>
          <w:rFonts w:ascii="Heiti SC" w:hAnsi="Heiti SC" w:eastAsia="Heiti SC"/>
          <w:color w:val="000000"/>
        </w:rPr>
        <w:t>登记入口与费用起算日分开 2026年10月14日</w:t>
      </w:r>
    </w:p>
    <w:p>
      <w:pPr>
        <w:keepLines/>
      </w:pPr>
      <w:r>
        <w:rPr>
          <w:rFonts w:ascii="Heiti SC" w:hAnsi="Heiti SC" w:eastAsia="Heiti SC"/>
          <w:color w:val="000000"/>
        </w:rPr>
        <w:t>起扣日只决定从哪天开始计算费用，不应锁住资金登记入口。今天或过去实际日期已经发生的新充值可立即登记，已有资金用余额更正核实，充值增量与实际剩余余额分开填写。起扣日前本轮已登记资金会延续到新阶段，旧费用不重复扣；旧记录保留可查。查询日期不等于起扣日，真实未来资金不提前登记。</w:t>
      </w:r>
    </w:p>
    <w:p>
      <w:pPr>
        <w:keepLines/>
      </w:pPr>
      <w:r>
        <w:rPr>
          <w:rFonts w:ascii="Heiti SC" w:hAnsi="Heiti SC" w:eastAsia="Heiti SC"/>
          <w:color w:val="000000"/>
        </w:rPr>
        <w:t>本条只记录交互与记账规则，真实金额仍需由操作人员核实。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